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Pr="00043CA3" w:rsidR="00043CA3" w:rsidP="00043CA3" w:rsidRDefault="00043CA3" w14:paraId="0CC99D04" w14:textId="77777777">
      <w:pPr>
        <w:spacing w:line="480" w:lineRule="auto"/>
        <w:rPr>
          <w:rFonts w:ascii="Times New Roman" w:hAnsi="Times New Roman" w:eastAsia="Times New Roman" w:cs="Times New Roman"/>
          <w:bCs/>
          <w:sz w:val="24"/>
          <w:szCs w:val="24"/>
          <w:lang w:val="en-GB"/>
        </w:rPr>
      </w:pPr>
    </w:p>
    <w:p w:rsidRPr="00043CA3" w:rsidR="00043CA3" w:rsidP="00043CA3" w:rsidRDefault="00043CA3" w14:paraId="2D99575B" w14:textId="77777777">
      <w:pPr>
        <w:spacing w:line="480" w:lineRule="auto"/>
        <w:rPr>
          <w:rFonts w:ascii="Times New Roman" w:hAnsi="Times New Roman" w:eastAsia="Times New Roman" w:cs="Times New Roman"/>
          <w:bCs/>
          <w:sz w:val="24"/>
          <w:szCs w:val="24"/>
          <w:lang w:val="en-GB"/>
        </w:rPr>
      </w:pPr>
      <w:r w:rsidRPr="00043CA3">
        <w:rPr>
          <w:rFonts w:ascii="Times New Roman" w:hAnsi="Times New Roman" w:eastAsia="Times New Roman" w:cs="Times New Roman"/>
          <w:bCs/>
          <w:sz w:val="24"/>
          <w:szCs w:val="24"/>
          <w:lang w:val="en-GB"/>
        </w:rPr>
        <w:t xml:space="preserve"> </w:t>
      </w:r>
    </w:p>
    <w:p w:rsidRPr="00043CA3" w:rsidR="00043CA3" w:rsidP="30383331" w:rsidRDefault="00043CA3" w14:paraId="6EB8FAAC" w14:textId="7733D32B">
      <w:pPr>
        <w:spacing w:line="480" w:lineRule="auto"/>
        <w:rPr>
          <w:rFonts w:ascii="Times New Roman" w:hAnsi="Times New Roman" w:eastAsia="Times New Roman" w:cs="Times New Roman"/>
          <w:sz w:val="24"/>
          <w:szCs w:val="24"/>
          <w:lang w:val="en-GB"/>
        </w:rPr>
      </w:pPr>
      <w:r w:rsidRPr="30383331" w:rsidR="00043CA3">
        <w:rPr>
          <w:rFonts w:ascii="Times New Roman" w:hAnsi="Times New Roman" w:eastAsia="Times New Roman" w:cs="Times New Roman"/>
          <w:b w:val="1"/>
          <w:bCs w:val="1"/>
          <w:sz w:val="24"/>
          <w:szCs w:val="24"/>
          <w:lang w:val="en-GB"/>
        </w:rPr>
        <w:t xml:space="preserve">Anke Finger </w:t>
      </w:r>
      <w:r w:rsidRPr="30383331" w:rsidR="00043CA3">
        <w:rPr>
          <w:rFonts w:ascii="Times New Roman" w:hAnsi="Times New Roman" w:eastAsia="Times New Roman" w:cs="Times New Roman"/>
          <w:sz w:val="24"/>
          <w:szCs w:val="24"/>
          <w:lang w:val="en-GB"/>
        </w:rPr>
        <w:t xml:space="preserve">and </w:t>
      </w:r>
      <w:r w:rsidRPr="30383331" w:rsidR="00043CA3">
        <w:rPr>
          <w:rFonts w:ascii="Times New Roman" w:hAnsi="Times New Roman" w:eastAsia="Times New Roman" w:cs="Times New Roman"/>
          <w:b w:val="1"/>
          <w:bCs w:val="1"/>
          <w:sz w:val="24"/>
          <w:szCs w:val="24"/>
          <w:lang w:val="en-GB"/>
        </w:rPr>
        <w:t>Manuela Wagner</w:t>
      </w:r>
      <w:r w:rsidRPr="30383331" w:rsidR="00043CA3">
        <w:rPr>
          <w:rFonts w:ascii="Times New Roman" w:hAnsi="Times New Roman" w:eastAsia="Times New Roman" w:cs="Times New Roman"/>
          <w:b w:val="1"/>
          <w:bCs w:val="1"/>
          <w:sz w:val="24"/>
          <w:szCs w:val="24"/>
          <w:lang w:val="en-GB"/>
        </w:rPr>
        <w:t xml:space="preserve"> (eds.) </w:t>
      </w:r>
      <w:r w:rsidRPr="30383331" w:rsidR="00043CA3">
        <w:rPr>
          <w:rFonts w:ascii="Times New Roman" w:hAnsi="Times New Roman" w:eastAsia="Times New Roman" w:cs="Times New Roman"/>
          <w:b w:val="1"/>
          <w:bCs w:val="1"/>
          <w:sz w:val="24"/>
          <w:szCs w:val="24"/>
          <w:lang w:val="en-GB"/>
        </w:rPr>
        <w:t xml:space="preserve"> </w:t>
      </w:r>
      <w:r w:rsidRPr="30383331" w:rsidR="00043CA3">
        <w:rPr>
          <w:rFonts w:ascii="Times New Roman" w:hAnsi="Times New Roman" w:eastAsia="Times New Roman" w:cs="Times New Roman"/>
          <w:b w:val="1"/>
          <w:bCs w:val="1"/>
          <w:i w:val="1"/>
          <w:iCs w:val="1"/>
          <w:sz w:val="24"/>
          <w:szCs w:val="24"/>
          <w:lang w:val="en-GB"/>
        </w:rPr>
        <w:t xml:space="preserve">Bias, Belief, and Conviction in an Age of Fake Facts </w:t>
      </w:r>
      <w:r w:rsidRPr="30383331" w:rsidR="00043CA3">
        <w:rPr>
          <w:rFonts w:ascii="Times New Roman" w:hAnsi="Times New Roman" w:eastAsia="Times New Roman" w:cs="Times New Roman"/>
          <w:sz w:val="24"/>
          <w:szCs w:val="24"/>
          <w:lang w:val="en-GB"/>
        </w:rPr>
        <w:t>London: Routledge.</w:t>
      </w:r>
      <w:r w:rsidRPr="30383331" w:rsidR="00043CA3">
        <w:rPr>
          <w:rFonts w:ascii="Times New Roman" w:hAnsi="Times New Roman" w:eastAsia="Times New Roman" w:cs="Times New Roman"/>
          <w:sz w:val="24"/>
          <w:szCs w:val="24"/>
          <w:lang w:val="en-GB"/>
        </w:rPr>
        <w:t xml:space="preserve"> </w:t>
      </w:r>
    </w:p>
    <w:p w:rsidRPr="00043CA3" w:rsidR="00043CA3" w:rsidP="00043CA3" w:rsidRDefault="00043CA3" w14:paraId="097B88C8" w14:textId="77777777">
      <w:pPr>
        <w:spacing w:line="480" w:lineRule="auto"/>
        <w:rPr>
          <w:rFonts w:ascii="Times New Roman" w:hAnsi="Times New Roman" w:eastAsia="Times New Roman" w:cs="Times New Roman"/>
          <w:bCs/>
          <w:sz w:val="24"/>
          <w:szCs w:val="24"/>
        </w:rPr>
      </w:pPr>
    </w:p>
    <w:p w:rsidR="00043CA3" w:rsidRDefault="00043CA3" w14:paraId="6BD695A7" w14:textId="77777777">
      <w:pPr>
        <w:spacing w:line="480" w:lineRule="auto"/>
        <w:jc w:val="center"/>
        <w:rPr>
          <w:rFonts w:ascii="Times New Roman" w:hAnsi="Times New Roman" w:eastAsia="Times New Roman" w:cs="Times New Roman"/>
          <w:b/>
          <w:sz w:val="24"/>
          <w:szCs w:val="24"/>
        </w:rPr>
      </w:pPr>
    </w:p>
    <w:p w:rsidR="00FA60D5" w:rsidP="30383331" w:rsidRDefault="00B26DB1" w14:paraId="14D5F403" w14:textId="633B0FB6">
      <w:pPr>
        <w:spacing w:line="480" w:lineRule="auto"/>
        <w:jc w:val="center"/>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b w:val="1"/>
          <w:bCs w:val="1"/>
          <w:sz w:val="24"/>
          <w:szCs w:val="24"/>
          <w:lang w:val="en-US"/>
        </w:rPr>
        <w:t>Intellectual Humility, Conviction and Intercultural Citizenship Education</w:t>
      </w:r>
    </w:p>
    <w:p w:rsidR="00FA60D5" w:rsidRDefault="00B26DB1" w14:paraId="6EFED1E8" w14:textId="77777777">
      <w:pPr>
        <w:spacing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Manuela Wagner and Michael Byram </w:t>
      </w:r>
    </w:p>
    <w:p w:rsidRPr="002A3042" w:rsidR="002A3042" w:rsidP="002A3042" w:rsidRDefault="002A3042" w14:paraId="5B300BBE" w14:textId="77777777">
      <w:pPr>
        <w:spacing w:line="480" w:lineRule="auto"/>
        <w:rPr>
          <w:rFonts w:ascii="Times New Roman" w:hAnsi="Times New Roman" w:eastAsia="Times New Roman" w:cs="Times New Roman"/>
          <w:sz w:val="24"/>
          <w:szCs w:val="24"/>
          <w:highlight w:val="white"/>
          <w:lang w:val="en-GB"/>
        </w:rPr>
      </w:pPr>
      <w:r w:rsidRPr="002A3042">
        <w:rPr>
          <w:rFonts w:ascii="Times New Roman" w:hAnsi="Times New Roman" w:eastAsia="Times New Roman" w:cs="Times New Roman"/>
          <w:sz w:val="24"/>
          <w:szCs w:val="24"/>
          <w:highlight w:val="white"/>
        </w:rPr>
        <w:t>Abstract </w:t>
      </w:r>
    </w:p>
    <w:p w:rsidRPr="002A3042" w:rsidR="002A3042" w:rsidP="002A3042" w:rsidRDefault="002A3042" w14:paraId="5D3F5D1A" w14:textId="77777777">
      <w:pPr>
        <w:spacing w:line="480" w:lineRule="auto"/>
        <w:rPr>
          <w:rFonts w:ascii="Times New Roman" w:hAnsi="Times New Roman" w:eastAsia="Times New Roman" w:cs="Times New Roman"/>
          <w:sz w:val="24"/>
          <w:szCs w:val="24"/>
          <w:highlight w:val="white"/>
          <w:lang w:val="en-GB"/>
        </w:rPr>
      </w:pPr>
      <w:r w:rsidRPr="002A3042">
        <w:rPr>
          <w:rFonts w:ascii="Times New Roman" w:hAnsi="Times New Roman" w:eastAsia="Times New Roman" w:cs="Times New Roman"/>
          <w:sz w:val="24"/>
          <w:szCs w:val="24"/>
          <w:highlight w:val="white"/>
        </w:rPr>
        <w:t>Our interconnected world with its complex and global problems requires students to be engaged not only with their own community - be it local or national - but also with other, unfamiliar communities both within and beyond the boundaries of their country, and thus become intercultural citizens. Education for intercultural citizenship (ICit), i.e. encouraging students to become engaged citizens during their education,  leads students to encounters with others which involve public discourse. While there are many reasons for the lack of civility in public discourse, (blind) convictions binding them to specific social groups may undermine students’ ability to collaborate with others to solve complex problems. Here we enrich previous work on ICit by analyzing the relationship between intellectual humility (IH) and ICit, and suggest how work on ICit and the concept of IH can enrich each other. In particular, we look at how convictions, especially blind convictions, might prevent us from making judgments based on specific evidence and reasoned argument, which is a foundational ability in ICit. Combining the insights from work on IH and on ICit provides a stronger basis for developing the capacities and actions of intercultural citizens.  </w:t>
      </w:r>
    </w:p>
    <w:p w:rsidR="00FA60D5" w:rsidRDefault="00FA60D5" w14:paraId="72B39612" w14:textId="77777777">
      <w:pPr>
        <w:spacing w:line="480" w:lineRule="auto"/>
        <w:rPr>
          <w:rFonts w:ascii="Times New Roman" w:hAnsi="Times New Roman" w:eastAsia="Times New Roman" w:cs="Times New Roman"/>
          <w:sz w:val="24"/>
          <w:szCs w:val="24"/>
          <w:highlight w:val="white"/>
        </w:rPr>
      </w:pPr>
    </w:p>
    <w:p w:rsidR="00FA60D5" w:rsidRDefault="00B26DB1" w14:paraId="6E912F8A" w14:textId="77777777">
      <w:pPr>
        <w:spacing w:line="480" w:lineRule="auto"/>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Keywords: Intercultural citizenship, intellectual humility, conviction, problem-based learning, international cooperation.</w:t>
      </w:r>
    </w:p>
    <w:p w:rsidR="00FA60D5" w:rsidRDefault="00B26DB1" w14:paraId="52D9BCD7" w14:textId="77777777">
      <w:pPr>
        <w:spacing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Introduction</w:t>
      </w:r>
    </w:p>
    <w:p w:rsidR="00FA60D5" w:rsidP="30383331" w:rsidRDefault="00B26DB1" w14:paraId="062E59C1" w14:textId="77777777">
      <w:pPr>
        <w:spacing w:line="480" w:lineRule="auto"/>
        <w:rPr>
          <w:rFonts w:ascii="Times New Roman" w:hAnsi="Times New Roman" w:eastAsia="Times New Roman" w:cs="Times New Roman"/>
          <w:color w:val="FF0000"/>
          <w:sz w:val="24"/>
          <w:szCs w:val="24"/>
          <w:lang w:val="en-US"/>
        </w:rPr>
      </w:pPr>
      <w:r w:rsidRPr="30383331" w:rsidR="00B26DB1">
        <w:rPr>
          <w:rFonts w:ascii="Times New Roman" w:hAnsi="Times New Roman" w:eastAsia="Times New Roman" w:cs="Times New Roman"/>
          <w:sz w:val="24"/>
          <w:szCs w:val="24"/>
          <w:lang w:val="en-US"/>
        </w:rPr>
        <w:t xml:space="preserve">One of the major purposes of education is for students to become engaged and active citizens. We, as many others, argue that our interconnected world with its complex and global problems requires students to be not just citizens in their own communities but “intercultural citizens” concerned with transnational issues (Byram, 2008). Nothing could have demonstrated this interconnectedness and the urgent need for collaboration at the global level more pressingly than the global health crisis created by Covid-19 which at the time of the writing has already caused 4,762,089 million deaths (WHO, 2021, September 29). In a brief about this crisis, UNESCO (2020) emphasized the importance of intercultural dialogue: </w:t>
      </w:r>
    </w:p>
    <w:p w:rsidR="00FA60D5" w:rsidP="30383331" w:rsidRDefault="00B26DB1" w14:paraId="3B35E5D4" w14:textId="77777777">
      <w:pPr>
        <w:spacing w:line="480" w:lineRule="auto"/>
        <w:ind w:left="720" w:right="990"/>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Whilst underscoring humanity’s interconnectedness and interdependency, COVID-19 has also led to a rise in discrimination, inequality, and vulnerability, putting pressure on the capacities of societies for intercultural understanding at a time where solidarity and cooperation are needed more than ever. ( </w:t>
      </w:r>
      <w:sdt>
        <w:sdtPr>
          <w:id w:val="1583405540"/>
          <w:tag w:val="goog_rdk_0"/>
          <w:placeholder>
            <w:docPart w:val="DefaultPlaceholder_1081868574"/>
          </w:placeholder>
        </w:sdtPr>
        <w:sdtContent>
          <w:r w:rsidRPr="30383331" w:rsidR="00B26DB1">
            <w:rPr>
              <w:rFonts w:ascii="Arial Unicode MS" w:hAnsi="Arial Unicode MS" w:eastAsia="Arial Unicode MS" w:cs="Arial Unicode MS"/>
              <w:sz w:val="24"/>
              <w:szCs w:val="24"/>
              <w:highlight w:val="white"/>
              <w:lang w:val="en-US"/>
            </w:rPr>
            <w:t>❡</w:t>
          </w:r>
        </w:sdtContent>
      </w:sdt>
      <w:r w:rsidRPr="30383331" w:rsidR="00B26DB1">
        <w:rPr>
          <w:rFonts w:ascii="Times New Roman" w:hAnsi="Times New Roman" w:eastAsia="Times New Roman" w:cs="Times New Roman"/>
          <w:sz w:val="24"/>
          <w:szCs w:val="24"/>
          <w:highlight w:val="white"/>
          <w:lang w:val="en-US"/>
        </w:rPr>
        <w:t>1)</w:t>
      </w:r>
    </w:p>
    <w:p w:rsidR="00FA60D5" w:rsidP="30383331" w:rsidRDefault="00B26DB1" w14:paraId="1DBED002" w14:textId="77777777">
      <w:pPr>
        <w:spacing w:line="480" w:lineRule="auto"/>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Specifically, this report identified four main problems: (1) amplification of social inequalities and vulnerabilities, (2) xenophobia and ethno-racism, (3) gender-based violence, and (4) discrimination against non-citizens. Education can and should play a part in overcoming these problems, developing students’ abilities in collaborative, intercultural, and interdisciplinary problem-solving, but at the same time, we also observe frightening tendencies of division and </w:t>
      </w:r>
      <w:r w:rsidRPr="30383331" w:rsidR="00B26DB1">
        <w:rPr>
          <w:rFonts w:ascii="Times New Roman" w:hAnsi="Times New Roman" w:eastAsia="Times New Roman" w:cs="Times New Roman"/>
          <w:sz w:val="24"/>
          <w:szCs w:val="24"/>
          <w:highlight w:val="white"/>
          <w:lang w:val="en-US"/>
        </w:rPr>
        <w:t>competition in debate and action over important issues. Lynch (2021) describes this as a tension between ideals:</w:t>
      </w:r>
    </w:p>
    <w:p w:rsidR="00FA60D5" w:rsidP="30383331" w:rsidRDefault="00B26DB1" w14:paraId="3C3E95F9" w14:textId="77777777">
      <w:pPr>
        <w:spacing w:line="480" w:lineRule="auto"/>
        <w:ind w:left="720" w:right="720"/>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Politically speaking, this tension manifests itself as a familiar conflict between two democratic ideals. One ideal is that of the committed, engaged public - citizens with convictions who are willing to lobby and vote for them. Democracies strive for this ideal because an apathetic electorate is an obviously ineffective electorate. Yet it is also an ideal that citizens should listen to, and deliberate about, each other’s convictions. (p.139) </w:t>
      </w:r>
    </w:p>
    <w:p w:rsidR="00FA60D5" w:rsidRDefault="00B26DB1" w14:paraId="480C429B" w14:textId="77777777">
      <w:pPr>
        <w:spacing w:line="480" w:lineRule="auto"/>
        <w:rPr>
          <w:rFonts w:ascii="Times New Roman" w:hAnsi="Times New Roman" w:eastAsia="Times New Roman" w:cs="Times New Roman"/>
          <w:color w:val="000000"/>
          <w:sz w:val="24"/>
          <w:szCs w:val="24"/>
        </w:rPr>
      </w:pPr>
      <w:r>
        <w:rPr>
          <w:rFonts w:ascii="Times New Roman" w:hAnsi="Times New Roman" w:eastAsia="Times New Roman" w:cs="Times New Roman"/>
          <w:sz w:val="24"/>
          <w:szCs w:val="24"/>
          <w:highlight w:val="white"/>
        </w:rPr>
        <w:t xml:space="preserve">Listening and deliberation need to take place both in private and in public discourse, and when these ideals are abandoned, political actions threaten democracies, as was seen in events such as the insurrection at the Capitol in Washington, DC, in the USA in January 2021 and parallel </w:t>
      </w:r>
      <w:r>
        <w:rPr>
          <w:rFonts w:ascii="Times New Roman" w:hAnsi="Times New Roman" w:eastAsia="Times New Roman" w:cs="Times New Roman"/>
          <w:color w:val="000000"/>
          <w:sz w:val="24"/>
          <w:szCs w:val="24"/>
          <w:highlight w:val="white"/>
        </w:rPr>
        <w:t xml:space="preserve">events in other societies such as the protests of the ‘Gilets jaunes’ in France from 2017. </w:t>
      </w:r>
    </w:p>
    <w:p w:rsidR="00FA60D5" w:rsidRDefault="00B26DB1" w14:paraId="19640349" w14:textId="77777777">
      <w:pPr>
        <w:spacing w:line="480" w:lineRule="auto"/>
        <w:rPr>
          <w:rFonts w:ascii="Times New Roman" w:hAnsi="Times New Roman" w:eastAsia="Times New Roman" w:cs="Times New Roman"/>
          <w:color w:val="000000"/>
          <w:sz w:val="24"/>
          <w:szCs w:val="24"/>
          <w:highlight w:val="white"/>
        </w:rPr>
      </w:pPr>
      <w:r>
        <w:rPr>
          <w:rFonts w:ascii="Times New Roman" w:hAnsi="Times New Roman" w:eastAsia="Times New Roman" w:cs="Times New Roman"/>
          <w:color w:val="000000"/>
          <w:sz w:val="24"/>
          <w:szCs w:val="24"/>
        </w:rPr>
        <w:t xml:space="preserve">Collaboration and interaction which is manifested in intercultural citizenship needs a common moral foundation. In philosophy we find a related concept of “moral cosmopolitanism - i.e., the egalitarian and universalist assumption that each human being is equally morally relevant and that all human beings form a morally relevant community…” which has an impact on “…the role and responsibilities of individual agents in the contemporary global context” (Hellinger, p.2).  </w:t>
      </w:r>
    </w:p>
    <w:p w:rsidR="00FA60D5" w:rsidRDefault="00FA60D5" w14:paraId="2CDECC3B" w14:textId="77777777">
      <w:pPr>
        <w:spacing w:line="480" w:lineRule="auto"/>
        <w:rPr>
          <w:rFonts w:ascii="Times New Roman" w:hAnsi="Times New Roman" w:eastAsia="Times New Roman" w:cs="Times New Roman"/>
          <w:sz w:val="24"/>
          <w:szCs w:val="24"/>
          <w:highlight w:val="white"/>
        </w:rPr>
      </w:pPr>
    </w:p>
    <w:p w:rsidR="00FA60D5" w:rsidP="30383331" w:rsidRDefault="00B26DB1" w14:paraId="7A4DBC8F" w14:textId="77777777">
      <w:pPr>
        <w:spacing w:line="480" w:lineRule="auto"/>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As Lynch says, convictions are important as a foundation for active citizenship. On the other hand, convictions can be problematic when we lose the ability to critically examine the connections between our convictions, our identities, and our actions. One approach to dealing with negative effects of what could be considered blind convictions is through ‘Intellectual Humility’ (e.g., Whitcomb et. al., 2017; Johnson et al., 2017) which helps us evaluate </w:t>
      </w:r>
      <w:r w:rsidRPr="30383331" w:rsidR="00B26DB1">
        <w:rPr>
          <w:rFonts w:ascii="Times New Roman" w:hAnsi="Times New Roman" w:eastAsia="Times New Roman" w:cs="Times New Roman"/>
          <w:sz w:val="24"/>
          <w:szCs w:val="24"/>
          <w:highlight w:val="white"/>
          <w:lang w:val="en-US"/>
        </w:rPr>
        <w:t xml:space="preserve">information and engage in deliberation about important topics, and in an attempt to address the lack of listening and deliberation about important issues, the project </w:t>
      </w:r>
      <w:r w:rsidRPr="30383331" w:rsidR="00B26DB1">
        <w:rPr>
          <w:rFonts w:ascii="Times New Roman" w:hAnsi="Times New Roman" w:eastAsia="Times New Roman" w:cs="Times New Roman"/>
          <w:i w:val="1"/>
          <w:iCs w:val="1"/>
          <w:sz w:val="24"/>
          <w:szCs w:val="24"/>
          <w:highlight w:val="white"/>
          <w:lang w:val="en-US"/>
        </w:rPr>
        <w:t xml:space="preserve">Humility and Conviction in Public Life </w:t>
      </w:r>
      <w:r w:rsidRPr="30383331" w:rsidR="00B26DB1">
        <w:rPr>
          <w:rFonts w:ascii="Times New Roman" w:hAnsi="Times New Roman" w:eastAsia="Times New Roman" w:cs="Times New Roman"/>
          <w:sz w:val="24"/>
          <w:szCs w:val="24"/>
          <w:highlight w:val="white"/>
          <w:lang w:val="en-US"/>
        </w:rPr>
        <w:t>launched a series of outreach and research initiatives to investigate the role of intellectual humility and conviction in public discourse (</w:t>
      </w:r>
      <w:hyperlink r:id="R35999a6e8bcd46b6">
        <w:r w:rsidRPr="30383331" w:rsidR="00B26DB1">
          <w:rPr>
            <w:rFonts w:ascii="Times New Roman" w:hAnsi="Times New Roman" w:eastAsia="Times New Roman" w:cs="Times New Roman"/>
            <w:sz w:val="24"/>
            <w:szCs w:val="24"/>
            <w:highlight w:val="white"/>
            <w:u w:val="single"/>
            <w:lang w:val="en-US"/>
          </w:rPr>
          <w:t>https://humilityandconviction.uconn.edu/blank/mission/</w:t>
        </w:r>
      </w:hyperlink>
      <w:r w:rsidRPr="30383331" w:rsidR="00B26DB1">
        <w:rPr>
          <w:rFonts w:ascii="Times New Roman" w:hAnsi="Times New Roman" w:eastAsia="Times New Roman" w:cs="Times New Roman"/>
          <w:sz w:val="24"/>
          <w:szCs w:val="24"/>
          <w:highlight w:val="white"/>
          <w:lang w:val="en-US"/>
        </w:rPr>
        <w:t>). The main question the project attempts to address is “How is it possible to combine principled commitment—the sort of commitment people show on issues such as religion or morality—with intellectual humility about those very commitments?” (Lynch et al, n.d., p.1). This general question becomes the basis for specific questions in education as we will show below.</w:t>
      </w:r>
    </w:p>
    <w:p w:rsidR="00FA60D5" w:rsidRDefault="00FA60D5" w14:paraId="1347C4F2" w14:textId="77777777">
      <w:pPr>
        <w:spacing w:line="480" w:lineRule="auto"/>
        <w:rPr>
          <w:rFonts w:ascii="Times New Roman" w:hAnsi="Times New Roman" w:eastAsia="Times New Roman" w:cs="Times New Roman"/>
          <w:sz w:val="24"/>
          <w:szCs w:val="24"/>
          <w:highlight w:val="white"/>
        </w:rPr>
      </w:pPr>
    </w:p>
    <w:p w:rsidR="00FA60D5" w:rsidP="30383331" w:rsidRDefault="00B26DB1" w14:paraId="435B294B"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highlight w:val="white"/>
          <w:lang w:val="en-US"/>
        </w:rPr>
        <w:t xml:space="preserve">With a different starting point, the theory of Intercultural Citizenship (Byram 2008) has addressed similar </w:t>
      </w:r>
      <w:r w:rsidRPr="30383331" w:rsidR="00B26DB1">
        <w:rPr>
          <w:rFonts w:ascii="Times New Roman" w:hAnsi="Times New Roman" w:eastAsia="Times New Roman" w:cs="Times New Roman"/>
          <w:sz w:val="24"/>
          <w:szCs w:val="24"/>
          <w:lang w:val="en-US"/>
        </w:rPr>
        <w:t xml:space="preserve">problems. Intercultural </w:t>
      </w:r>
      <w:r w:rsidRPr="30383331" w:rsidR="00B26DB1">
        <w:rPr>
          <w:rFonts w:ascii="Times New Roman" w:hAnsi="Times New Roman" w:eastAsia="Times New Roman" w:cs="Times New Roman"/>
          <w:sz w:val="24"/>
          <w:szCs w:val="24"/>
          <w:highlight w:val="white"/>
          <w:lang w:val="en-US"/>
        </w:rPr>
        <w:t xml:space="preserve">citizenship grew out of a philosophy of education - and foreign/world language education in particular - which connects to the German tradition of ‘politische Bildung’ and ‘Demokratielernen’ (Himmelmann, 2001). In Intercultural Citizenship, it is argued that schools and other educational institutions should equip learners to be active citizens in their communities not only after they leave education but also while they are in the midst of education. At the heart of this view of citizenship is the notion of ‘critical cultural awareness’ defined as </w:t>
      </w:r>
      <w:r w:rsidRPr="30383331" w:rsidR="00B26DB1">
        <w:rPr>
          <w:rFonts w:ascii="Times New Roman" w:hAnsi="Times New Roman" w:eastAsia="Times New Roman" w:cs="Times New Roman"/>
          <w:sz w:val="24"/>
          <w:szCs w:val="24"/>
          <w:lang w:val="en-US"/>
        </w:rPr>
        <w:t xml:space="preserve">‘an ability to evaluate, critically and on the basis of an explicit, systematic process of reasoning, values present in one’s own and other cultures and countries’ (Byram, 2021, p. 90). </w:t>
      </w:r>
    </w:p>
    <w:p w:rsidR="00FA60D5" w:rsidRDefault="00FA60D5" w14:paraId="1B4BF0A0" w14:textId="77777777">
      <w:pPr>
        <w:spacing w:line="480" w:lineRule="auto"/>
        <w:rPr>
          <w:rFonts w:ascii="Times New Roman" w:hAnsi="Times New Roman" w:eastAsia="Times New Roman" w:cs="Times New Roman"/>
          <w:sz w:val="24"/>
          <w:szCs w:val="24"/>
        </w:rPr>
      </w:pPr>
    </w:p>
    <w:p w:rsidR="00FA60D5" w:rsidP="30383331" w:rsidRDefault="00B26DB1" w14:paraId="4B5ADD73" w14:textId="77777777">
      <w:pPr>
        <w:spacing w:line="480" w:lineRule="auto"/>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lang w:val="en-US"/>
        </w:rPr>
        <w:t>There are obvious similarities between this and intellectual humility in the willingness to question one’s own values and convictions, and in this chapter,</w:t>
      </w:r>
      <w:r w:rsidRPr="30383331" w:rsidR="00B26DB1">
        <w:rPr>
          <w:rFonts w:ascii="Times New Roman" w:hAnsi="Times New Roman" w:eastAsia="Times New Roman" w:cs="Times New Roman"/>
          <w:sz w:val="24"/>
          <w:szCs w:val="24"/>
          <w:highlight w:val="white"/>
          <w:lang w:val="en-US"/>
        </w:rPr>
        <w:t xml:space="preserve"> we bring together the framework </w:t>
      </w:r>
      <w:r w:rsidRPr="30383331" w:rsidR="00B26DB1">
        <w:rPr>
          <w:rFonts w:ascii="Times New Roman" w:hAnsi="Times New Roman" w:eastAsia="Times New Roman" w:cs="Times New Roman"/>
          <w:sz w:val="24"/>
          <w:szCs w:val="24"/>
          <w:highlight w:val="white"/>
          <w:lang w:val="en-US"/>
        </w:rPr>
        <w:t xml:space="preserve">of Intercultural Citizenship through which we prepare students to become active citizens in an interconnected world, with the concept of intellectual humility. In doing so our main purpose is to analyze each and show how each can enrich the other and thereby become an improved foundation for pedagogy. </w:t>
      </w:r>
    </w:p>
    <w:p w:rsidR="00FA60D5" w:rsidRDefault="00FA60D5" w14:paraId="77EE6EDF" w14:textId="77777777">
      <w:pPr>
        <w:spacing w:line="480" w:lineRule="auto"/>
        <w:rPr>
          <w:rFonts w:ascii="Times New Roman" w:hAnsi="Times New Roman" w:eastAsia="Times New Roman" w:cs="Times New Roman"/>
          <w:sz w:val="24"/>
          <w:szCs w:val="24"/>
          <w:highlight w:val="white"/>
        </w:rPr>
      </w:pPr>
    </w:p>
    <w:p w:rsidR="00FA60D5" w:rsidP="30383331" w:rsidRDefault="00B26DB1" w14:paraId="11206902" w14:textId="77777777">
      <w:pPr>
        <w:spacing w:line="480" w:lineRule="auto"/>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We shall first explain conviction, intellectual humility, and intercultural citizenship, and then provide an example of a transnational project in which students develop and then apply their intercultural competence and intellectual humility in an action project in their community. </w:t>
      </w:r>
    </w:p>
    <w:p w:rsidR="00FA60D5" w:rsidRDefault="00FA60D5" w14:paraId="23693F48" w14:textId="77777777">
      <w:pPr>
        <w:spacing w:line="480" w:lineRule="auto"/>
        <w:rPr>
          <w:rFonts w:ascii="Times New Roman" w:hAnsi="Times New Roman" w:eastAsia="Times New Roman" w:cs="Times New Roman"/>
          <w:sz w:val="24"/>
          <w:szCs w:val="24"/>
          <w:highlight w:val="white"/>
        </w:rPr>
      </w:pPr>
    </w:p>
    <w:p w:rsidR="00FA60D5" w:rsidRDefault="00B26DB1" w14:paraId="17AD608F" w14:textId="77777777">
      <w:pPr>
        <w:spacing w:line="480" w:lineRule="auto"/>
        <w:jc w:val="center"/>
      </w:pPr>
      <w:r>
        <w:rPr>
          <w:rFonts w:ascii="Times New Roman" w:hAnsi="Times New Roman" w:eastAsia="Times New Roman" w:cs="Times New Roman"/>
          <w:b/>
          <w:sz w:val="24"/>
          <w:szCs w:val="24"/>
          <w:highlight w:val="white"/>
        </w:rPr>
        <w:t>Conviction</w:t>
      </w:r>
    </w:p>
    <w:p w:rsidR="00FA60D5" w:rsidRDefault="00B26DB1" w14:paraId="715E18A6" w14:textId="77777777">
      <w:pPr>
        <w:spacing w:line="480" w:lineRule="auto"/>
        <w:ind w:firstLine="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In this section we take a closer look at characteristics of convictions and how they might be connected to students’ identities and actions, and thereby to intercultural citizenship. In another, earlier article, Lynch (2017) makes connection with Dewey and argues that convictions are needed for democracies to function:</w:t>
      </w:r>
    </w:p>
    <w:p w:rsidR="00FA60D5" w:rsidP="30383331" w:rsidRDefault="00B26DB1" w14:paraId="41E49C2E" w14:textId="77777777">
      <w:pPr>
        <w:spacing w:line="480" w:lineRule="auto"/>
        <w:ind w:left="720" w:righ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shd w:val="clear" w:color="auto" w:fill="FCFCFC"/>
          <w:lang w:val="en-US"/>
        </w:rPr>
        <w:t>Dewey knew that democracies can’t function if their citizens don’t have conviction — an apathetic electorate is no electorate at all. But our democracy also can’t function if we don’t seek, at least some of the time, to inhabit a common space where we can listen to each other and trade reasons back and forth. And that’s one reason that teaching our students the value of empathy, of reasons and dialogue, and the value and nature of evidence itself, is crucial — in fact, now more than ever</w:t>
      </w:r>
      <w:r w:rsidRPr="30383331" w:rsidR="00B26DB1">
        <w:rPr>
          <w:rFonts w:ascii="Times New Roman" w:hAnsi="Times New Roman" w:eastAsia="Times New Roman" w:cs="Times New Roman"/>
          <w:sz w:val="24"/>
          <w:szCs w:val="24"/>
          <w:lang w:val="en-US"/>
        </w:rPr>
        <w:t>. (</w:t>
      </w:r>
      <w:sdt>
        <w:sdtPr>
          <w:tag w:val="goog_rdk_1"/>
          <w:id w:val="2091733713"/>
          <w:placeholder>
            <w:docPart w:val="DefaultPlaceholder_1081868574"/>
          </w:placeholder>
        </w:sdtPr>
        <w:sdtEndPr/>
        <w:sdtContent>
          <w:r w:rsidRPr="30383331" w:rsidR="00B26DB1">
            <w:rPr>
              <w:rFonts w:ascii="Arial Unicode MS" w:hAnsi="Arial Unicode MS" w:eastAsia="Arial Unicode MS" w:cs="Arial Unicode MS"/>
              <w:sz w:val="24"/>
              <w:szCs w:val="24"/>
              <w:lang w:val="en-US"/>
            </w:rPr>
            <w:t>❡</w:t>
          </w:r>
        </w:sdtContent>
      </w:sdt>
      <w:r w:rsidRPr="30383331" w:rsidR="00B26DB1">
        <w:rPr>
          <w:rFonts w:ascii="Times New Roman" w:hAnsi="Times New Roman" w:eastAsia="Times New Roman" w:cs="Times New Roman"/>
          <w:sz w:val="24"/>
          <w:szCs w:val="24"/>
          <w:lang w:val="en-US"/>
        </w:rPr>
        <w:t xml:space="preserve"> 18)</w:t>
      </w:r>
    </w:p>
    <w:p w:rsidR="00FA60D5" w:rsidRDefault="00B26DB1" w14:paraId="7A485E8F" w14:textId="77777777">
      <w:pPr>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hd w:val="clear" w:color="auto" w:fill="FCFCFC"/>
        </w:rPr>
        <w:t xml:space="preserve">Lynch’s position is then that convictions are crucial to democratic processes but are also full of tensions, with the potential to prevent debate. </w:t>
      </w:r>
    </w:p>
    <w:p w:rsidR="00FA60D5" w:rsidRDefault="00B26DB1" w14:paraId="45608996" w14:textId="77777777">
      <w:pPr>
        <w:spacing w:line="48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Pursuing the connection with education, Pritchard (2020) links conviction to self-confidence and argues that conviction should be fostered in education to encourage self-confidence:</w:t>
      </w:r>
    </w:p>
    <w:p w:rsidR="00FA60D5" w:rsidRDefault="00B26DB1" w14:paraId="238B203A" w14:textId="77777777">
      <w:pPr>
        <w:spacing w:line="480" w:lineRule="auto"/>
        <w:ind w:left="720" w:right="720"/>
        <w:rPr>
          <w:rFonts w:ascii="Times New Roman" w:hAnsi="Times New Roman" w:eastAsia="Times New Roman" w:cs="Times New Roman"/>
          <w:sz w:val="24"/>
          <w:szCs w:val="24"/>
        </w:rPr>
      </w:pPr>
      <w:r>
        <w:rPr>
          <w:rFonts w:ascii="Times New Roman" w:hAnsi="Times New Roman" w:eastAsia="Times New Roman" w:cs="Times New Roman"/>
          <w:sz w:val="24"/>
          <w:szCs w:val="24"/>
        </w:rPr>
        <w:t>Here is another goal of education that we would surely find compelling, which is to enable students to have self-confidence, and thereby to have the strength of their convictions. We do not want our students to be wracked with self-doubt, nor do we want them to be the kind of people who are willing to change their minds at the drop of a hat (or, perhaps worse, at the first sign of any resistance to their opinions, such as in their peer group). (p.398)</w:t>
      </w:r>
    </w:p>
    <w:p w:rsidR="00FA60D5" w:rsidP="30383331" w:rsidRDefault="00B26DB1" w14:paraId="2B6017A8"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However, while it is easy to agree with the benefits of strong convictions outlined by Pritchard and linked with Lynch’s comments above about the ideal of a “committed and engaged public”, there are possible negative consequences of convictions as a consequence of their moral dimension. </w:t>
      </w:r>
    </w:p>
    <w:p w:rsidR="00FA60D5" w:rsidP="30383331" w:rsidRDefault="00B26DB1" w14:paraId="20783F8E" w14:textId="77777777">
      <w:pPr>
        <w:spacing w:line="48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For we take convictions to be a particular kind of belief, which includes a moral conviction or attitudes, an “attitude(s) that people perceive as grounded in a fundamental distinction between right and wrong” (Skitka et al., 2021, p.347), and which is “characterized by two interrelated metacognitions: perceived objectivity and universality” (ibid., p.352).  People believe their convictions to hold true in different places, times, and cultures, and have “morally convicted attitudes” (ibid.). Lynch (2019) distinguishes convictions from beliefs, saying that convictions are more than “strongly held beliefs” and that we do not need convictions for all our beliefs:  “I don’t </w:t>
      </w:r>
      <w:r w:rsidRPr="30383331" w:rsidR="00B26DB1">
        <w:rPr>
          <w:rFonts w:ascii="Times New Roman" w:hAnsi="Times New Roman" w:eastAsia="Times New Roman" w:cs="Times New Roman"/>
          <w:i w:val="1"/>
          <w:iCs w:val="1"/>
          <w:sz w:val="24"/>
          <w:szCs w:val="24"/>
          <w:lang w:val="en-US"/>
        </w:rPr>
        <w:t>need</w:t>
      </w:r>
      <w:r w:rsidRPr="30383331" w:rsidR="00B26DB1">
        <w:rPr>
          <w:rFonts w:ascii="Times New Roman" w:hAnsi="Times New Roman" w:eastAsia="Times New Roman" w:cs="Times New Roman"/>
          <w:sz w:val="24"/>
          <w:szCs w:val="24"/>
          <w:lang w:val="en-US"/>
        </w:rPr>
        <w:t xml:space="preserve"> conviction for anything I’m absolutely or logically certain about” (p.54). Convictions, furthermore, do not need to be linked to reason or backed up by evidence. In fact, Lynch claims, “Convictions make it practically rational to be epistemically irrational” (2019 p. </w:t>
      </w:r>
      <w:r w:rsidRPr="30383331" w:rsidR="00B26DB1">
        <w:rPr>
          <w:rFonts w:ascii="Times New Roman" w:hAnsi="Times New Roman" w:eastAsia="Times New Roman" w:cs="Times New Roman"/>
          <w:sz w:val="24"/>
          <w:szCs w:val="24"/>
          <w:lang w:val="en-US"/>
        </w:rPr>
        <w:t xml:space="preserve">67). It is therefore possible to be convinced of something that is not linked to truth or reality, to have “blind convictions”. This is a dangerous state of affairs, and Lynch makes the case that these characteristics of convictions and the nature of social media make the latter “a very effective blind-conviction machine” (p.73), as groups form affinities based on (blind) convictions that are already part of a narrative. </w:t>
      </w:r>
    </w:p>
    <w:p w:rsidR="00FA60D5" w:rsidRDefault="00B26DB1" w14:paraId="402AF4EA" w14:textId="77777777">
      <w:pPr>
        <w:spacing w:line="48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A second significant dimension of convictions, which also differentiates them from beliefs, is their relationship to identity. Convictions are “identity-reflecting commitments” (Lynch, 2020 p. 139)</w:t>
      </w:r>
      <w:r>
        <w:t>.</w:t>
      </w:r>
    </w:p>
    <w:p w:rsidR="00FA60D5" w:rsidP="30383331" w:rsidRDefault="00B26DB1" w14:paraId="4B02960A" w14:textId="77777777">
      <w:pPr>
        <w:spacing w:line="48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ab/>
      </w:r>
      <w:r w:rsidRPr="30383331" w:rsidR="00B26DB1">
        <w:rPr>
          <w:rFonts w:ascii="Times New Roman" w:hAnsi="Times New Roman" w:eastAsia="Times New Roman" w:cs="Times New Roman"/>
          <w:sz w:val="24"/>
          <w:szCs w:val="24"/>
          <w:lang w:val="en-US"/>
        </w:rPr>
        <w:t>Convictions show others how we want to be perceived by them and indicate how we want to perceive ourselves:</w:t>
      </w:r>
    </w:p>
    <w:p w:rsidR="00FA60D5" w:rsidP="30383331" w:rsidRDefault="00B26DB1" w14:paraId="3D42E017" w14:textId="77777777">
      <w:pPr>
        <w:spacing w:line="480" w:lineRule="auto"/>
        <w:ind w:left="720" w:righ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our convictions signify to others what kind of person we take ourselves to be or aspire to be, and they reflect our self-image of being that kind of person. It is this fact that makes a conviction feel certain to us, whether or not it really is. Convictions are where attitude meets identity.  (Lynch, 2019, p.55).</w:t>
      </w:r>
    </w:p>
    <w:p w:rsidR="00FA60D5" w:rsidP="30383331" w:rsidRDefault="00B26DB1" w14:paraId="499B9FC2"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The relationship between our convictions and our identity explains, in turn, why convictions can have such a strong influence on our actions and behaviors (Lynch, 2019), as has been shown in empirical research. Skitka et al. (2021), conducting an overview of research on morally convicted attitudes, share evidence that “moral convictions are associated with perceived stronger obligations to take a stand, which in turn predicts intentions to engage in specific forms of activism and collective action” (p. 354). According to Skitka et al. such activism is related in turn to political engagement, intolerance of differing views (see also Wright, this volume), and unwillingness to compromise. Skitka et al. (2021) also report that there is some evidence of a further risk related to conviction, namely that we tend to falsely assume that others agree with us </w:t>
      </w:r>
      <w:r w:rsidRPr="30383331" w:rsidR="00B26DB1">
        <w:rPr>
          <w:rFonts w:ascii="Times New Roman" w:hAnsi="Times New Roman" w:eastAsia="Times New Roman" w:cs="Times New Roman"/>
          <w:sz w:val="24"/>
          <w:szCs w:val="24"/>
          <w:lang w:val="en-US"/>
        </w:rPr>
        <w:t xml:space="preserve">(see also Wright, this volume). In either case, people with strong convictions tend to react more negatively to those with different beliefs and values. </w:t>
      </w:r>
    </w:p>
    <w:p w:rsidR="00FA60D5" w:rsidRDefault="00B26DB1" w14:paraId="724CA14D" w14:textId="77777777">
      <w:pPr>
        <w:spacing w:line="480" w:lineRule="auto"/>
        <w:rPr>
          <w:rFonts w:ascii="Times New Roman" w:hAnsi="Times New Roman" w:eastAsia="Times New Roman" w:cs="Times New Roman"/>
          <w:sz w:val="24"/>
          <w:szCs w:val="24"/>
        </w:rPr>
      </w:pPr>
      <w:r>
        <w:t xml:space="preserve">     </w:t>
      </w:r>
    </w:p>
    <w:p w:rsidR="00FA60D5" w:rsidP="30383331" w:rsidRDefault="00B26DB1" w14:paraId="00D50049"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Since convictions have such authority over how we see ourselves and want others to see us, it is not surprising that those with strong moral convictions tend to be intolerant of those who don’t share their convictions (for an overview, see Wright this volume). Considering that we take convictions for granted, and that they are linked to our identities and group affiliation, it follows that convictions can guide our actions, some of which can be intolerant and negative. While not all convictions lead to negative outcomes, it is important in a functional society for us to understand why we believe what we believe and to be able to support what we believe with evidence, whether outcomes are negative or positive. </w:t>
      </w:r>
    </w:p>
    <w:p w:rsidR="00FA60D5" w:rsidRDefault="00B26DB1" w14:paraId="0678A6FF" w14:textId="77777777">
      <w:pPr>
        <w:spacing w:line="480" w:lineRule="auto"/>
        <w:rPr>
          <w:rFonts w:ascii="Times New Roman" w:hAnsi="Times New Roman" w:eastAsia="Times New Roman" w:cs="Times New Roman"/>
          <w:sz w:val="24"/>
          <w:szCs w:val="24"/>
        </w:rPr>
      </w:pPr>
      <w:r>
        <w:t xml:space="preserve">     </w:t>
      </w:r>
    </w:p>
    <w:p w:rsidR="00FA60D5" w:rsidP="30383331" w:rsidRDefault="00B26DB1" w14:paraId="5DAB3A23"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Perhaps more importantly, we have learned from recent experience just how dangerous it can be when intolerant convictions are articulated as fake news which is not questioned and corrected. As Lynch made an argument in 2017, during the Trump presidency, which is equally valid in other political contexts and times:</w:t>
      </w:r>
    </w:p>
    <w:p w:rsidR="00FA60D5" w:rsidP="30383331" w:rsidRDefault="00B26DB1" w14:paraId="0CE22A37" w14:textId="77777777">
      <w:pPr>
        <w:spacing w:line="480" w:lineRule="auto"/>
        <w:ind w:left="720"/>
        <w:rPr>
          <w:rFonts w:ascii="Times New Roman" w:hAnsi="Times New Roman" w:eastAsia="Times New Roman" w:cs="Times New Roman"/>
          <w:sz w:val="24"/>
          <w:szCs w:val="24"/>
          <w:shd w:val="clear" w:color="auto" w:fill="FCFCFC"/>
          <w:lang w:val="en-US"/>
        </w:rPr>
      </w:pPr>
      <w:r w:rsidRPr="30383331" w:rsidR="00B26DB1">
        <w:rPr>
          <w:rFonts w:ascii="Times New Roman" w:hAnsi="Times New Roman" w:eastAsia="Times New Roman" w:cs="Times New Roman"/>
          <w:sz w:val="24"/>
          <w:szCs w:val="24"/>
          <w:shd w:val="clear" w:color="auto" w:fill="FCFCFC"/>
          <w:lang w:val="en-US"/>
        </w:rPr>
        <w:t>Overcoming toxic arrogance is not easy, and our present political moment is not making it any easier. But if we want to live in a tolerant society where we are not only open-minded but willing to learn from others, we need to balance humility and conviction. We can start by looking past ourselves — and admitting that we don’t know it all. (</w:t>
      </w:r>
      <w:sdt>
        <w:sdtPr>
          <w:tag w:val="goog_rdk_2"/>
          <w:id w:val="1609227710"/>
          <w:placeholder>
            <w:docPart w:val="DefaultPlaceholder_1081868574"/>
          </w:placeholder>
        </w:sdtPr>
        <w:sdtEndPr/>
        <w:sdtContent>
          <w:r w:rsidRPr="30383331" w:rsidR="00B26DB1">
            <w:rPr>
              <w:rFonts w:ascii="Arial Unicode MS" w:hAnsi="Arial Unicode MS" w:eastAsia="Arial Unicode MS" w:cs="Arial Unicode MS"/>
              <w:sz w:val="24"/>
              <w:szCs w:val="24"/>
              <w:shd w:val="clear" w:color="auto" w:fill="FCFCFC"/>
              <w:lang w:val="en-US"/>
            </w:rPr>
            <w:t>❡</w:t>
          </w:r>
        </w:sdtContent>
      </w:sdt>
      <w:r w:rsidRPr="30383331" w:rsidR="00B26DB1">
        <w:rPr>
          <w:rFonts w:ascii="Times New Roman" w:hAnsi="Times New Roman" w:eastAsia="Times New Roman" w:cs="Times New Roman"/>
          <w:sz w:val="24"/>
          <w:szCs w:val="24"/>
          <w:shd w:val="clear" w:color="auto" w:fill="FCFCFC"/>
          <w:lang w:val="en-US"/>
        </w:rPr>
        <w:t xml:space="preserve">19). </w:t>
      </w:r>
    </w:p>
    <w:p w:rsidR="00FA60D5" w:rsidRDefault="00B26DB1" w14:paraId="5B7A3DDF" w14:textId="77777777">
      <w:pPr>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In other words, one way to counteract the development of intellectual arrogance and (blind) convictions is to foster intellectual humility, which we explore in the next section.</w:t>
      </w:r>
    </w:p>
    <w:p w:rsidR="00FA60D5" w:rsidRDefault="00FA60D5" w14:paraId="7BA46F32" w14:textId="77777777">
      <w:pPr>
        <w:spacing w:line="480" w:lineRule="auto"/>
        <w:rPr>
          <w:rFonts w:ascii="Times New Roman" w:hAnsi="Times New Roman" w:eastAsia="Times New Roman" w:cs="Times New Roman"/>
          <w:sz w:val="24"/>
          <w:szCs w:val="24"/>
        </w:rPr>
      </w:pPr>
    </w:p>
    <w:p w:rsidR="00FA60D5" w:rsidRDefault="00B26DB1" w14:paraId="6E4AD389" w14:textId="77777777">
      <w:pPr>
        <w:spacing w:line="480" w:lineRule="auto"/>
        <w:jc w:val="center"/>
      </w:pPr>
      <w:r>
        <w:rPr>
          <w:rFonts w:ascii="Times New Roman" w:hAnsi="Times New Roman" w:eastAsia="Times New Roman" w:cs="Times New Roman"/>
          <w:b/>
          <w:sz w:val="24"/>
          <w:szCs w:val="24"/>
        </w:rPr>
        <w:t>Intellectual Humility</w:t>
      </w:r>
    </w:p>
    <w:p w:rsidR="00FA60D5" w:rsidRDefault="00B26DB1" w14:paraId="47A23112" w14:textId="77777777">
      <w:pPr>
        <w:spacing w:after="200" w:line="360" w:lineRule="auto"/>
        <w:rPr>
          <w:rFonts w:ascii="Times New Roman" w:hAnsi="Times New Roman" w:eastAsia="Times New Roman" w:cs="Times New Roman"/>
          <w:b/>
          <w:i/>
          <w:sz w:val="24"/>
          <w:szCs w:val="24"/>
        </w:rPr>
      </w:pPr>
      <w:r>
        <w:rPr>
          <w:rFonts w:ascii="Times New Roman" w:hAnsi="Times New Roman" w:eastAsia="Times New Roman" w:cs="Times New Roman"/>
          <w:sz w:val="24"/>
          <w:szCs w:val="24"/>
        </w:rPr>
        <w:t xml:space="preserve">In this next stage of our argument, we introduce intellectual humility and its connections to convictions as well as to intercultural citizenship, beginning with a question raised by Pritchard </w:t>
      </w:r>
      <w:r>
        <w:t xml:space="preserve">     </w:t>
      </w:r>
      <w:r>
        <w:rPr>
          <w:rFonts w:ascii="Times New Roman" w:hAnsi="Times New Roman" w:eastAsia="Times New Roman" w:cs="Times New Roman"/>
          <w:sz w:val="24"/>
          <w:szCs w:val="24"/>
        </w:rPr>
        <w:t xml:space="preserve"> about his own view that conviction and self-confidence should be pursued through education, namely that there is a potential problem of coherence for educators:</w:t>
      </w:r>
    </w:p>
    <w:p w:rsidR="00FA60D5" w:rsidP="30383331" w:rsidRDefault="00B26DB1" w14:paraId="34415495" w14:textId="77777777">
      <w:pPr>
        <w:spacing w:line="480" w:lineRule="auto"/>
        <w:ind w:left="720" w:right="720"/>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color w:val="1C1D1E"/>
          <w:sz w:val="24"/>
          <w:szCs w:val="24"/>
          <w:highlight w:val="white"/>
          <w:lang w:val="en-US"/>
        </w:rPr>
        <w:t>But does not intellectual humility stand precisely in opposition to self‐confidence and conviction? Indeed, is not manifesting self‐confidence and conviction the kind of thing that the intellectually arrogant, and thus intellectually viceful, person does? Relatedly, if there is this tension between, on the one hand, intellectual humility as an intellectual virtue, and, on the other hand, self‐confidence and conviction, then how is the educator to coherently educate for both? Must they sacrifice one of these goals at the altar of the other? If so, which one? Or is there a way of reconciling these goals of education? (2020, p.399)</w:t>
      </w:r>
    </w:p>
    <w:p w:rsidR="00FA60D5" w:rsidP="30383331" w:rsidRDefault="00B26DB1" w14:paraId="4956B830" w14:textId="77777777">
      <w:pPr>
        <w:spacing w:after="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Pritchard’s questions take us directly into the implications of the philosophical work for educators who need to find answers to how teaching intellectual humility (IH) can counteract negative aspects of conviction while also supporting the benefits of convictions. Pritchard himself argues for “an account of (intellectual) humility that involves an accurate conception of oneself in the relevant respects, involves no pretense, deceit or inauthenticity,” (2020 p. 403).  </w:t>
      </w:r>
    </w:p>
    <w:p w:rsidR="00FA60D5" w:rsidRDefault="00B26DB1" w14:paraId="1EE4DE09" w14:textId="77777777">
      <w:pPr>
        <w:spacing w:after="200" w:line="360" w:lineRule="auto"/>
      </w:pPr>
      <w:r>
        <w:rPr>
          <w:rFonts w:ascii="Times New Roman" w:hAnsi="Times New Roman" w:eastAsia="Times New Roman" w:cs="Times New Roman"/>
          <w:sz w:val="24"/>
          <w:szCs w:val="24"/>
        </w:rPr>
        <w:t xml:space="preserve">This notion of IH involves then a hard look at oneself, and Dillon (2021) surmises that “In an age dominated by narcissistic self-absorption, egoistic self-promotion, and arrogant disregard of other persons, humility might seem to be precisely what is needed to counteract self-valuing gone awry” (p. 57). </w:t>
      </w:r>
    </w:p>
    <w:p w:rsidR="00FA60D5" w:rsidP="30383331" w:rsidRDefault="00B26DB1" w14:paraId="4D26B584" w14:textId="77777777">
      <w:pPr>
        <w:widowControl w:val="0"/>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A second conceptualization of IH useful for education comes from Whitcomb and colleagues who developed 19 “predictions related to a variety of activities, motivations, and feelings” of a person who is intellectually humble (2017 p.520 - see appendix). These</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are comparable to elements of intercultural competence in our model of intercultural citizenship which we describe </w:t>
      </w:r>
      <w:r w:rsidRPr="30383331" w:rsidR="00B26DB1">
        <w:rPr>
          <w:rFonts w:ascii="Times New Roman" w:hAnsi="Times New Roman" w:eastAsia="Times New Roman" w:cs="Times New Roman"/>
          <w:sz w:val="24"/>
          <w:szCs w:val="24"/>
          <w:lang w:val="en-US"/>
        </w:rPr>
        <w:t xml:space="preserve">below. For example, prediction 1 “IH increases a person’s propensity to admit his intellectual limitations to himself and others” (p.521) and </w:t>
      </w:r>
      <w:r w:rsidRPr="30383331" w:rsidR="00B26DB1">
        <w:rPr>
          <w:rFonts w:ascii="Times New Roman" w:hAnsi="Times New Roman" w:eastAsia="Times New Roman" w:cs="Times New Roman"/>
          <w:color w:val="231F20"/>
          <w:sz w:val="24"/>
          <w:szCs w:val="24"/>
          <w:lang w:val="en-US"/>
        </w:rPr>
        <w:t xml:space="preserve">prediction </w:t>
      </w:r>
      <w:r w:rsidRPr="30383331" w:rsidR="00B26DB1">
        <w:rPr>
          <w:rFonts w:ascii="Times New Roman" w:hAnsi="Times New Roman" w:eastAsia="Times New Roman" w:cs="Times New Roman"/>
          <w:sz w:val="24"/>
          <w:szCs w:val="24"/>
          <w:lang w:val="en-US"/>
        </w:rPr>
        <w:t>10 “IH increases a person’s propensity to revise a cherished belief or reduce confidence in it, when she learns of defeaters (i.e. reasons to think her belief is false or reasons to be suspicious of her grounds for it)” (p. 524) are related to characteristics of ‘c</w:t>
      </w:r>
      <w:r w:rsidRPr="30383331" w:rsidR="00B26DB1">
        <w:rPr>
          <w:rFonts w:ascii="Times New Roman" w:hAnsi="Times New Roman" w:eastAsia="Times New Roman" w:cs="Times New Roman"/>
          <w:color w:val="231F20"/>
          <w:sz w:val="24"/>
          <w:szCs w:val="24"/>
          <w:lang w:val="en-US"/>
        </w:rPr>
        <w:t xml:space="preserve">ritical cultural awareness’ which include “make an evaluative analysis of the documents and events which refer to an explicit perspective and criteria; [be] aware of [our] own ideological perspectives and values and evaluate documents or events with explicit reference to them” (Byram, 2021 p. 90). Whitcomb et al.’s </w:t>
      </w:r>
      <w:r w:rsidRPr="30383331" w:rsidR="00B26DB1">
        <w:rPr>
          <w:rFonts w:ascii="Times New Roman" w:hAnsi="Times New Roman" w:eastAsia="Times New Roman" w:cs="Times New Roman"/>
          <w:sz w:val="24"/>
          <w:szCs w:val="24"/>
          <w:lang w:val="en-US"/>
        </w:rPr>
        <w:t xml:space="preserve">Prediction 11 “IH increases a person’s propensity to consider alternative ideas, to listen to the views of others, and to spend more time trying to understand someone with whom he disagrees” (p.524) corresponds with components of intercultural competence that require us to compare and interpret different sets of values and beliefs. Other predictions can be connected to collaborations among students which are crucial in the notion of intercultural citizenship as we shall see below. Consider, for example, prediction 5 “IH increases a person’s propensity to defer to others who don’t have her intellectual limitations, in situations that call upon those limitations.” Deferring to others, when appropriate, not only fosters positive relationships and thereby has a positive influence on collaboration, it is also positively connected with knowledge acquisition. Acquisition of knowledge is further supported by other aspects of IH, for only if we are aware that we don’t know something and don’t wrongfully believe that we know something, will we be open to learning something new. </w:t>
      </w:r>
    </w:p>
    <w:p w:rsidR="00FA60D5" w:rsidRDefault="00B26DB1" w14:paraId="610E7646" w14:textId="77777777">
      <w:pPr>
        <w:widowControl w:val="0"/>
        <w:spacing w:line="480" w:lineRule="auto"/>
        <w:rPr>
          <w:rFonts w:ascii="Times New Roman" w:hAnsi="Times New Roman" w:eastAsia="Times New Roman" w:cs="Times New Roman"/>
          <w:sz w:val="24"/>
          <w:szCs w:val="24"/>
        </w:rPr>
      </w:pPr>
      <w:r>
        <w:t xml:space="preserve">     </w:t>
      </w:r>
    </w:p>
    <w:p w:rsidR="00FA60D5" w:rsidRDefault="00B26DB1" w14:paraId="02DC35CC" w14:textId="77777777">
      <w:pPr>
        <w:spacing w:line="480" w:lineRule="auto"/>
        <w:ind w:right="720"/>
        <w:jc w:val="center"/>
      </w:pPr>
      <w:r>
        <w:rPr>
          <w:rFonts w:ascii="Times New Roman" w:hAnsi="Times New Roman" w:eastAsia="Times New Roman" w:cs="Times New Roman"/>
          <w:b/>
          <w:sz w:val="24"/>
          <w:szCs w:val="24"/>
          <w:highlight w:val="white"/>
        </w:rPr>
        <w:t>Intercultural Citizenship</w:t>
      </w:r>
    </w:p>
    <w:p w:rsidR="00FA60D5" w:rsidRDefault="00B26DB1" w14:paraId="550888D5" w14:textId="77777777">
      <w:pPr>
        <w:spacing w:line="480" w:lineRule="auto"/>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rPr>
        <w:tab/>
      </w:r>
      <w:r>
        <w:rPr>
          <w:rFonts w:ascii="Times New Roman" w:hAnsi="Times New Roman" w:eastAsia="Times New Roman" w:cs="Times New Roman"/>
          <w:sz w:val="24"/>
          <w:szCs w:val="24"/>
        </w:rPr>
        <w:tab/>
      </w:r>
      <w:r>
        <w:rPr>
          <w:rFonts w:ascii="Times New Roman" w:hAnsi="Times New Roman" w:eastAsia="Times New Roman" w:cs="Times New Roman"/>
          <w:sz w:val="24"/>
          <w:szCs w:val="24"/>
        </w:rPr>
        <w:tab/>
      </w:r>
    </w:p>
    <w:p w:rsidR="00FA60D5" w:rsidP="30383331" w:rsidRDefault="00B26DB1" w14:paraId="43763649" w14:textId="77777777">
      <w:pPr>
        <w:spacing w:line="480" w:lineRule="auto"/>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The modelling of intercultural competence and Intercultural Citizenship has been influenced by the notion that intercultural dialogue is an important component of education. For example, the Council of Europe, an intergovernmental organization with 47 member states that was founded in 1947 to uphold human rights, democracy and the rule of law in Europe, recognizes the power of intercultural dialogue to address societal problems in its White Paper of 2008 entitled “Living Together as Equals in Dignity”. The White Paper led to the creation of the </w:t>
      </w:r>
      <w:r w:rsidRPr="30383331" w:rsidR="00B26DB1">
        <w:rPr>
          <w:rFonts w:ascii="Times New Roman" w:hAnsi="Times New Roman" w:eastAsia="Times New Roman" w:cs="Times New Roman"/>
          <w:i w:val="1"/>
          <w:iCs w:val="1"/>
          <w:sz w:val="24"/>
          <w:szCs w:val="24"/>
          <w:highlight w:val="white"/>
          <w:lang w:val="en-US"/>
        </w:rPr>
        <w:t>Reference Framework of Competences for Democratic Culture</w:t>
      </w:r>
      <w:r w:rsidRPr="30383331" w:rsidR="00B26DB1">
        <w:rPr>
          <w:rFonts w:ascii="Times New Roman" w:hAnsi="Times New Roman" w:eastAsia="Times New Roman" w:cs="Times New Roman"/>
          <w:sz w:val="24"/>
          <w:szCs w:val="24"/>
          <w:highlight w:val="white"/>
          <w:lang w:val="en-US"/>
        </w:rPr>
        <w:t xml:space="preserve"> (Council of Europe, 2018) which helps educators to foster the values, attitudes, skills, and knowledge and critical understanding which students need to engage in intercultural democratic dialogue. The Organisation for Economic Co-operation and Development (OECD) also  adopted goals of global competence in their assessment of students from many parts of the world in the Programme for International Student Assessment (PISA) tests (</w:t>
      </w:r>
      <w:hyperlink r:id="R40ca21e134bf410f">
        <w:r w:rsidRPr="30383331" w:rsidR="00B26DB1">
          <w:rPr>
            <w:rFonts w:ascii="Times New Roman" w:hAnsi="Times New Roman" w:eastAsia="Times New Roman" w:cs="Times New Roman"/>
            <w:color w:val="1155CC"/>
            <w:sz w:val="24"/>
            <w:szCs w:val="24"/>
            <w:highlight w:val="white"/>
            <w:u w:val="single"/>
            <w:lang w:val="en-US"/>
          </w:rPr>
          <w:t>https://www.oecd.org/pisa/pisa-2018-global-competence.htm</w:t>
        </w:r>
      </w:hyperlink>
      <w:r w:rsidRPr="30383331" w:rsidR="00B26DB1">
        <w:rPr>
          <w:rFonts w:ascii="Times New Roman" w:hAnsi="Times New Roman" w:eastAsia="Times New Roman" w:cs="Times New Roman"/>
          <w:sz w:val="24"/>
          <w:szCs w:val="24"/>
          <w:highlight w:val="white"/>
          <w:lang w:val="en-US"/>
        </w:rPr>
        <w:t>).</w:t>
      </w:r>
    </w:p>
    <w:p w:rsidR="00FA60D5" w:rsidP="30383331" w:rsidRDefault="00B26DB1" w14:paraId="290D765F" w14:textId="77777777">
      <w:pPr>
        <w:spacing w:line="48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highlight w:val="white"/>
          <w:lang w:val="en-US"/>
        </w:rPr>
        <w:t>In parallel with these developments in intercultural dialogue, the notion of Intercultural Citizenship (ICit) (Byram, 2008) builds on a model of Intercultural Communicative Competence (ICC)</w:t>
      </w:r>
      <w:r w:rsidRPr="30383331" w:rsidR="00B26DB1">
        <w:rPr>
          <w:rFonts w:ascii="Times New Roman" w:hAnsi="Times New Roman" w:eastAsia="Times New Roman" w:cs="Times New Roman"/>
          <w:sz w:val="24"/>
          <w:szCs w:val="24"/>
          <w:lang w:val="en-US"/>
        </w:rPr>
        <w:t xml:space="preserve"> (Byram,1997/ 2021) </w:t>
      </w:r>
      <w:r w:rsidRPr="30383331" w:rsidR="00B26DB1">
        <w:rPr>
          <w:rFonts w:ascii="Times New Roman" w:hAnsi="Times New Roman" w:eastAsia="Times New Roman" w:cs="Times New Roman"/>
          <w:sz w:val="24"/>
          <w:szCs w:val="24"/>
          <w:highlight w:val="white"/>
          <w:lang w:val="en-US"/>
        </w:rPr>
        <w:t>developed initially for world language educators to systematically and intentionally teach and assess the knowledge, skills, attitudes and criticality students need to become intercultural mediat</w:t>
      </w:r>
      <w:r w:rsidRPr="30383331" w:rsidR="00B26DB1">
        <w:rPr>
          <w:rFonts w:ascii="Times New Roman" w:hAnsi="Times New Roman" w:eastAsia="Times New Roman" w:cs="Times New Roman"/>
          <w:sz w:val="24"/>
          <w:szCs w:val="24"/>
          <w:lang w:val="en-US"/>
        </w:rPr>
        <w:t xml:space="preserve">ors, or ‘intercultural speakers’. The latter is a phrase which deliberately contrasts with imitating ‘the native speaker’ which has dominated language teaching for many decades. Mediators or intercultural speakers are not only able to communicate with people from different cultural contexts, they are also able to help people from different contexts communicate with each other. The extension to the concept of Intercultural Citizenship was made by adding elements of “active citizenship” or “political and civic engagement” (Barrett &amp; Zani, 2015). </w:t>
      </w:r>
    </w:p>
    <w:p w:rsidR="00FA60D5" w:rsidP="30383331" w:rsidRDefault="00B26DB1" w14:paraId="0482EAEA" w14:textId="77777777">
      <w:pPr>
        <w:spacing w:line="48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Intercultural citizenship education is important with regard to the questions we cited from Pritchard above, but it is often misunderstood. For example, students might think of intercultural citizenship as what someone engages in when they have multiple passports, rather than something that can be learned in education (e.g., Golubeva et al., 2017), as demonstrated in a number of published projects (e.g., Byram et al., 2017).</w:t>
      </w:r>
    </w:p>
    <w:p w:rsidR="00FA60D5" w:rsidP="30383331" w:rsidRDefault="00B26DB1" w14:paraId="2D7AC2AA" w14:textId="77777777">
      <w:pPr>
        <w:spacing w:line="48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To clarify what is involved, it is important to distinguish between ‘being bicultural’ and ‘acting interculturally’. People who </w:t>
      </w:r>
      <w:r w:rsidRPr="30383331" w:rsidR="00B26DB1">
        <w:rPr>
          <w:rFonts w:ascii="Times New Roman" w:hAnsi="Times New Roman" w:eastAsia="Times New Roman" w:cs="Times New Roman"/>
          <w:i w:val="1"/>
          <w:iCs w:val="1"/>
          <w:sz w:val="24"/>
          <w:szCs w:val="24"/>
          <w:lang w:val="en-US"/>
        </w:rPr>
        <w:t xml:space="preserve">are </w:t>
      </w:r>
      <w:r w:rsidRPr="30383331" w:rsidR="00B26DB1">
        <w:rPr>
          <w:rFonts w:ascii="Times New Roman" w:hAnsi="Times New Roman" w:eastAsia="Times New Roman" w:cs="Times New Roman"/>
          <w:sz w:val="24"/>
          <w:szCs w:val="24"/>
          <w:lang w:val="en-US"/>
        </w:rPr>
        <w:t xml:space="preserve">bicultural feel at home, and are accepted, in two different but similar cultural groups. They identify with both groups and are identified and accepted by others as members of both groups. People with the competence to </w:t>
      </w:r>
      <w:r w:rsidRPr="30383331" w:rsidR="00B26DB1">
        <w:rPr>
          <w:rFonts w:ascii="Times New Roman" w:hAnsi="Times New Roman" w:eastAsia="Times New Roman" w:cs="Times New Roman"/>
          <w:i w:val="1"/>
          <w:iCs w:val="1"/>
          <w:sz w:val="24"/>
          <w:szCs w:val="24"/>
          <w:lang w:val="en-US"/>
        </w:rPr>
        <w:t xml:space="preserve">act </w:t>
      </w:r>
      <w:r w:rsidRPr="30383331" w:rsidR="00B26DB1">
        <w:rPr>
          <w:rFonts w:ascii="Times New Roman" w:hAnsi="Times New Roman" w:eastAsia="Times New Roman" w:cs="Times New Roman"/>
          <w:sz w:val="24"/>
          <w:szCs w:val="24"/>
          <w:lang w:val="en-US"/>
        </w:rPr>
        <w:t xml:space="preserve">interculturally are those who have certain competences which allow them to engage with others from other cultural groups, to discover their beliefs, values and behaviors - their culture - and cooperate with them, or to help others who do not have (as much) intercultural competence to do so (Byram, 2008). While being bicultural clearly has some advantages, such as being able to live in different cultural contexts, intercultural competence is the more desirable and realistic goal in education. It helps students to transfer and apply their knowledge, attitudes and skills to unknown situations (Byram, 1997/ 2021). </w:t>
      </w:r>
    </w:p>
    <w:p w:rsidR="00FA60D5" w:rsidP="30383331" w:rsidRDefault="00B26DB1" w14:paraId="598ABB50" w14:textId="77777777">
      <w:pPr>
        <w:spacing w:line="48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What do students need to know to act interculturally and become successful mediators? First, they need to have language competence: linguistic competence or knowledge and skill in using language as a system, sociolinguistic competence or knowledge and skill in using language in socially appropriate ways, and discourse competence or the ability to produce and understand texts. Second, students need to develop intercultural competence, which is more than a matter of skills and knowledge, and the definition of competence used emphasizes the inclusion of values and attitudes: </w:t>
      </w:r>
    </w:p>
    <w:p w:rsidR="00FA60D5" w:rsidP="30383331" w:rsidRDefault="00B26DB1" w14:paraId="3A40D7CF" w14:textId="77777777">
      <w:pPr>
        <w:spacing w:line="48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[competence is] the ability to mobilise and deploy relevant values, attitudes, skills, knowledge and/or understanding in order to respond appropriately and effectively to the demands, challenges and opportunities that are presented by a given type of context. (Council of Europe, 2018: 32)</w:t>
      </w:r>
    </w:p>
    <w:p w:rsidR="00FA60D5" w:rsidRDefault="00B26DB1" w14:paraId="64A401AE" w14:textId="77777777">
      <w:pPr>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The different dimensions of intercultural competence are thus defined as:</w:t>
      </w:r>
    </w:p>
    <w:p w:rsidR="00FA60D5" w:rsidP="30383331" w:rsidRDefault="00B26DB1" w14:paraId="02E1561E" w14:textId="77777777">
      <w:pPr>
        <w:spacing w:line="48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i w:val="1"/>
          <w:iCs w:val="1"/>
          <w:sz w:val="24"/>
          <w:szCs w:val="24"/>
          <w:u w:val="single"/>
          <w:lang w:val="en-US"/>
        </w:rPr>
        <w:t>Attitudes</w:t>
      </w:r>
      <w:r w:rsidRPr="30383331" w:rsidR="00B26DB1">
        <w:rPr>
          <w:rFonts w:ascii="Times New Roman" w:hAnsi="Times New Roman" w:eastAsia="Times New Roman" w:cs="Times New Roman"/>
          <w:i w:val="1"/>
          <w:iCs w:val="1"/>
          <w:sz w:val="24"/>
          <w:szCs w:val="24"/>
          <w:lang w:val="en-US"/>
        </w:rPr>
        <w:t>: curiosity and openness, readiness to suspend disbelief about other cultures and belief about one’s own.</w:t>
      </w:r>
    </w:p>
    <w:p w:rsidR="00FA60D5" w:rsidRDefault="00B26DB1" w14:paraId="19B17193" w14:textId="77777777">
      <w:pPr>
        <w:spacing w:line="48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u w:val="single"/>
        </w:rPr>
        <w:t>Knowledge</w:t>
      </w:r>
      <w:r>
        <w:rPr>
          <w:rFonts w:ascii="Times New Roman" w:hAnsi="Times New Roman" w:eastAsia="Times New Roman" w:cs="Times New Roman"/>
          <w:i/>
          <w:sz w:val="24"/>
          <w:szCs w:val="24"/>
        </w:rPr>
        <w:t>: specific knowledge of social groups and their products and practices in one’s own and in one’s interlocutor’s country, and of the general knowledge of processes of societal and individual interaction</w:t>
      </w:r>
    </w:p>
    <w:p w:rsidR="00FA60D5" w:rsidP="30383331" w:rsidRDefault="00B26DB1" w14:paraId="475EE27B"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u w:val="single"/>
          <w:lang w:val="en-US"/>
        </w:rPr>
        <w:t>Skills of interpreting and relating</w:t>
      </w:r>
      <w:r w:rsidRPr="30383331" w:rsidR="00B26DB1">
        <w:rPr>
          <w:rFonts w:ascii="Times New Roman" w:hAnsi="Times New Roman" w:eastAsia="Times New Roman" w:cs="Times New Roman"/>
          <w:i w:val="1"/>
          <w:iCs w:val="1"/>
          <w:sz w:val="24"/>
          <w:szCs w:val="24"/>
          <w:lang w:val="en-US"/>
        </w:rPr>
        <w:t>: ability to interpret a document or event from another culture, to explain it and relate it to documents from one’s own</w:t>
      </w:r>
      <w:r w:rsidRPr="30383331" w:rsidR="00B26DB1">
        <w:rPr>
          <w:rFonts w:ascii="Times New Roman" w:hAnsi="Times New Roman" w:eastAsia="Times New Roman" w:cs="Times New Roman"/>
          <w:sz w:val="24"/>
          <w:szCs w:val="24"/>
          <w:lang w:val="en-US"/>
        </w:rPr>
        <w:t>.</w:t>
      </w:r>
    </w:p>
    <w:p w:rsidR="00FA60D5" w:rsidP="30383331" w:rsidRDefault="00B26DB1" w14:paraId="1E235D81"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u w:val="single"/>
          <w:lang w:val="en-US"/>
        </w:rPr>
        <w:t>Skills of discovery and interaction</w:t>
      </w:r>
      <w:r w:rsidRPr="30383331" w:rsidR="00B26DB1">
        <w:rPr>
          <w:rFonts w:ascii="Times New Roman" w:hAnsi="Times New Roman" w:eastAsia="Times New Roman" w:cs="Times New Roman"/>
          <w:i w:val="1"/>
          <w:iCs w:val="1"/>
          <w:sz w:val="24"/>
          <w:szCs w:val="24"/>
          <w:lang w:val="en-US"/>
        </w:rPr>
        <w:t>: ability to acquire new knowledge of cultural practices and the ability to operate knowledge, attitudes and skills under the constraints of real-time communication and interaction</w:t>
      </w:r>
      <w:r w:rsidRPr="30383331" w:rsidR="00B26DB1">
        <w:rPr>
          <w:rFonts w:ascii="Times New Roman" w:hAnsi="Times New Roman" w:eastAsia="Times New Roman" w:cs="Times New Roman"/>
          <w:sz w:val="24"/>
          <w:szCs w:val="24"/>
          <w:lang w:val="en-US"/>
        </w:rPr>
        <w:t>.</w:t>
      </w:r>
    </w:p>
    <w:p w:rsidR="00FA60D5" w:rsidP="30383331" w:rsidRDefault="00B26DB1" w14:paraId="4DC6E904" w14:textId="77777777">
      <w:pPr>
        <w:spacing w:line="48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u w:val="single"/>
          <w:lang w:val="en-US"/>
        </w:rPr>
        <w:t>Critical cultural awareness</w:t>
      </w:r>
      <w:r w:rsidRPr="30383331" w:rsidR="00B26DB1">
        <w:rPr>
          <w:rFonts w:ascii="Times New Roman" w:hAnsi="Times New Roman" w:eastAsia="Times New Roman" w:cs="Times New Roman"/>
          <w:i w:val="1"/>
          <w:iCs w:val="1"/>
          <w:sz w:val="24"/>
          <w:szCs w:val="24"/>
          <w:lang w:val="en-US"/>
        </w:rPr>
        <w:t>: an ability to evaluate, critically and on the basis of an explicit, systematic process of reasoning, values present  in one’s own and other cultures and countries</w:t>
      </w:r>
      <w:r w:rsidRPr="30383331" w:rsidR="00B26DB1">
        <w:rPr>
          <w:rFonts w:ascii="Times New Roman" w:hAnsi="Times New Roman" w:eastAsia="Times New Roman" w:cs="Times New Roman"/>
          <w:sz w:val="24"/>
          <w:szCs w:val="24"/>
          <w:lang w:val="en-US"/>
        </w:rPr>
        <w:t>.</w:t>
      </w:r>
    </w:p>
    <w:p w:rsidR="00FA60D5" w:rsidP="30383331" w:rsidRDefault="00B26DB1" w14:paraId="62E61F69" w14:textId="77777777">
      <w:pPr>
        <w:spacing w:line="480" w:lineRule="auto"/>
        <w:rPr>
          <w:rFonts w:ascii="Times New Roman" w:hAnsi="Times New Roman" w:eastAsia="Times New Roman" w:cs="Times New Roman"/>
          <w:sz w:val="24"/>
          <w:szCs w:val="24"/>
          <w:highlight w:val="yellow"/>
          <w:lang w:val="en-US"/>
        </w:rPr>
      </w:pPr>
      <w:r w:rsidRPr="30383331" w:rsidR="00B26DB1">
        <w:rPr>
          <w:rFonts w:ascii="Times New Roman" w:hAnsi="Times New Roman" w:eastAsia="Times New Roman" w:cs="Times New Roman"/>
          <w:sz w:val="24"/>
          <w:szCs w:val="24"/>
          <w:lang w:val="en-US"/>
        </w:rPr>
        <w:t>Each of these is described (Byram 2021) in terms of teaching and learning objectives and presented in a diagram of the model which emphasizes that critical cultural awareness is placed at the center of Intercultural Competence since this is the crucial educational objective (See figure 1):</w:t>
      </w:r>
    </w:p>
    <w:p w:rsidR="00FA60D5" w:rsidRDefault="00B26DB1" w14:paraId="314FDAA2" w14:textId="77777777">
      <w:pPr>
        <w:spacing w:line="480" w:lineRule="auto"/>
        <w:rPr>
          <w:rFonts w:ascii="Times New Roman" w:hAnsi="Times New Roman" w:eastAsia="Times New Roman" w:cs="Times New Roman"/>
          <w:sz w:val="24"/>
          <w:szCs w:val="24"/>
        </w:rPr>
      </w:pPr>
      <w:r>
        <w:t xml:space="preserve">     </w:t>
      </w:r>
    </w:p>
    <w:p w:rsidR="00FA60D5" w:rsidRDefault="00B26DB1" w14:paraId="5F834A5F" w14:textId="77777777">
      <w:pPr>
        <w:widowControl w:val="0"/>
        <w:spacing w:line="480" w:lineRule="auto"/>
        <w:ind w:right="460"/>
        <w:jc w:val="center"/>
        <w:rPr>
          <w:rFonts w:ascii="Times New Roman" w:hAnsi="Times New Roman" w:eastAsia="Times New Roman" w:cs="Times New Roman"/>
          <w:sz w:val="24"/>
          <w:szCs w:val="24"/>
        </w:rPr>
      </w:pPr>
      <w:r>
        <w:rPr>
          <w:rFonts w:ascii="Times New Roman" w:hAnsi="Times New Roman" w:eastAsia="Times New Roman" w:cs="Times New Roman"/>
          <w:noProof/>
          <w:sz w:val="24"/>
          <w:szCs w:val="24"/>
        </w:rPr>
        <w:drawing>
          <wp:inline distT="114300" distB="114300" distL="114300" distR="114300" wp14:anchorId="1880BC52" wp14:editId="1DC55B1A">
            <wp:extent cx="2400300" cy="3267075"/>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r="28954"/>
                    <a:stretch>
                      <a:fillRect/>
                    </a:stretch>
                  </pic:blipFill>
                  <pic:spPr>
                    <a:xfrm>
                      <a:off x="0" y="0"/>
                      <a:ext cx="2400300" cy="3267075"/>
                    </a:xfrm>
                    <a:prstGeom prst="rect">
                      <a:avLst/>
                    </a:prstGeom>
                    <a:ln/>
                  </pic:spPr>
                </pic:pic>
              </a:graphicData>
            </a:graphic>
          </wp:inline>
        </w:drawing>
      </w:r>
    </w:p>
    <w:p w:rsidR="00FA60D5" w:rsidRDefault="00B26DB1" w14:paraId="4AC91054" w14:textId="77777777">
      <w:pPr>
        <w:widowControl w:val="0"/>
        <w:spacing w:line="480" w:lineRule="auto"/>
        <w:ind w:right="46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Figure 1: Model of Intercultural Communicative Competence (Byram 1997/2021)</w:t>
      </w:r>
    </w:p>
    <w:p w:rsidR="00FA60D5" w:rsidRDefault="00B26DB1" w14:paraId="1E843CFC" w14:textId="77777777">
      <w:pPr>
        <w:spacing w:line="480" w:lineRule="auto"/>
        <w:rPr>
          <w:rFonts w:ascii="Times New Roman" w:hAnsi="Times New Roman" w:eastAsia="Times New Roman" w:cs="Times New Roman"/>
          <w:sz w:val="24"/>
          <w:szCs w:val="24"/>
        </w:rPr>
      </w:pPr>
      <w:r>
        <w:t xml:space="preserve">     </w:t>
      </w:r>
    </w:p>
    <w:p w:rsidR="00FA60D5" w:rsidP="30383331" w:rsidRDefault="00B26DB1" w14:paraId="52245A8D"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Intercultural communicative competence (ICC) is thus a combination of language competence and intercultural competence. Intercultural competence (IC) can be taught and learnt across the curriculum whereas ICC is taught and learnt above all in world languages classes. </w:t>
      </w:r>
    </w:p>
    <w:p w:rsidR="00FA60D5" w:rsidRDefault="00B26DB1" w14:paraId="57B2A63E" w14:textId="77777777">
      <w:pPr>
        <w:spacing w:line="360" w:lineRule="auto"/>
        <w:rPr>
          <w:rFonts w:ascii="Times New Roman" w:hAnsi="Times New Roman" w:eastAsia="Times New Roman" w:cs="Times New Roman"/>
          <w:sz w:val="24"/>
          <w:szCs w:val="24"/>
        </w:rPr>
      </w:pPr>
      <w:r>
        <w:t xml:space="preserve">     </w:t>
      </w:r>
    </w:p>
    <w:p w:rsidR="00FA60D5" w:rsidP="30383331" w:rsidRDefault="00B26DB1" w14:paraId="7BA07C40"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A comparison of ICC, and in particular the characteristics of IC, with work in education for citizenship and democracy (Himmelmann 2001 and 2003) revealed both similarity and difference. There is much similarity in competences for interaction with others in society but education for democracy and (national) citizenship emphasizes, in addition, the competences needed for taking civic action. On the other hand, intercultural competence when linked to language teaching and the acquisition and use of foreign/world languages (ICC), turns learners’ gaze and activity to the world beyond the national borders present in education for (national) citizenship. Combining these two aspects of education led to the concept of teaching for intercultural citizenship (ICit). This means that students a) acquire the knowledge, skills, attitudes, and criticality related to intercultural competence, which enables them to interact with or mediate between people from different cultural contexts; and b) apply their intercultural </w:t>
      </w:r>
      <w:r w:rsidRPr="30383331" w:rsidR="00B26DB1">
        <w:rPr>
          <w:rFonts w:ascii="Times New Roman" w:hAnsi="Times New Roman" w:eastAsia="Times New Roman" w:cs="Times New Roman"/>
          <w:sz w:val="24"/>
          <w:szCs w:val="24"/>
          <w:lang w:val="en-US"/>
        </w:rPr>
        <w:t>competence in the here and now to solve a problem and take action in their</w:t>
      </w:r>
      <w:r w:rsidRPr="30383331" w:rsidR="00B26DB1">
        <w:rPr>
          <w:lang w:val="en-US"/>
        </w:rPr>
        <w:t xml:space="preserve"> </w:t>
      </w:r>
      <w:r w:rsidRPr="30383331" w:rsidR="00B26DB1">
        <w:rPr>
          <w:rFonts w:ascii="Times New Roman" w:hAnsi="Times New Roman" w:eastAsia="Times New Roman" w:cs="Times New Roman"/>
          <w:sz w:val="24"/>
          <w:szCs w:val="24"/>
          <w:lang w:val="en-US"/>
        </w:rPr>
        <w:t>local or global community. </w:t>
      </w:r>
    </w:p>
    <w:p w:rsidR="00FA60D5" w:rsidP="30383331" w:rsidRDefault="00B26DB1" w14:paraId="56CB9A63" w14:textId="77777777">
      <w:pPr>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The theory of ICit has been successfully applied in</w:t>
      </w:r>
      <w:r w:rsidRPr="30383331" w:rsidR="00B26DB1">
        <w:rPr>
          <w:lang w:val="en-US"/>
        </w:rPr>
        <w:t xml:space="preserve"> </w:t>
      </w:r>
      <w:r w:rsidRPr="30383331" w:rsidR="00B26DB1">
        <w:rPr>
          <w:rFonts w:ascii="Times New Roman" w:hAnsi="Times New Roman" w:eastAsia="Times New Roman" w:cs="Times New Roman"/>
          <w:sz w:val="24"/>
          <w:szCs w:val="24"/>
          <w:lang w:val="en-US"/>
        </w:rPr>
        <w:t>numerous educational contexts, at</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 different levels of education, in different subject areas, and in interdisciplinary and transnational as well as local contexts (e.g., Byram et al., 2017; Wagner et al, 2018; Wagner et al, 2019). Students have, for example, collaborated with students from another country (or with students from different contexts within the same country) to analyze and address a societal issue they deemed important.</w:t>
      </w:r>
      <w:r w:rsidRPr="30383331" w:rsidR="00B26DB1">
        <w:rPr>
          <w:rFonts w:ascii="Times New Roman" w:hAnsi="Times New Roman" w:eastAsia="Times New Roman" w:cs="Times New Roman"/>
          <w:b w:val="1"/>
          <w:bCs w:val="1"/>
          <w:sz w:val="24"/>
          <w:szCs w:val="24"/>
          <w:lang w:val="en-US"/>
        </w:rPr>
        <w:t xml:space="preserve"> </w:t>
      </w:r>
      <w:r w:rsidRPr="30383331" w:rsidR="00B26DB1">
        <w:rPr>
          <w:rFonts w:ascii="Times New Roman" w:hAnsi="Times New Roman" w:eastAsia="Times New Roman" w:cs="Times New Roman"/>
          <w:sz w:val="24"/>
          <w:szCs w:val="24"/>
          <w:lang w:val="en-US"/>
        </w:rPr>
        <w:t>Tackling a problem in the here and now by taking some action in their community – and not just thinking about it within the classroom -  means that they apply their intercultural competence to act as ‘intercultural citizens’. In retrospect, such projects</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include characteristics which can be illuminated by reference to the analysis of intellectual humility by Paul and Elder (2002) and Whitcomb et al. (2017) and its application in education, and we now move to providing an example of how IH and ICit can be combined explicitly to help students critically examine and become aware of their own strong beliefs and moral convictions. </w:t>
      </w:r>
    </w:p>
    <w:p w:rsidR="00FA60D5" w:rsidRDefault="00FA60D5" w14:paraId="5BEE9A9C" w14:textId="77777777">
      <w:pPr>
        <w:spacing w:line="360" w:lineRule="auto"/>
        <w:rPr>
          <w:rFonts w:ascii="Times New Roman" w:hAnsi="Times New Roman" w:eastAsia="Times New Roman" w:cs="Times New Roman"/>
          <w:sz w:val="24"/>
          <w:szCs w:val="24"/>
        </w:rPr>
      </w:pPr>
    </w:p>
    <w:p w:rsidR="00FA60D5" w:rsidRDefault="00B26DB1" w14:paraId="6BAE39EC" w14:textId="77777777">
      <w:pPr>
        <w:spacing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Combining Intellectual Humility and Intercultural Citizenship </w:t>
      </w:r>
    </w:p>
    <w:p w:rsidR="00FA60D5" w:rsidRDefault="00B26DB1" w14:paraId="15F0F81E" w14:textId="77777777">
      <w:pPr>
        <w:spacing w:after="200" w:line="360" w:lineRule="auto"/>
        <w:rPr>
          <w:rFonts w:ascii="Times New Roman" w:hAnsi="Times New Roman" w:eastAsia="Times New Roman" w:cs="Times New Roman"/>
          <w:sz w:val="24"/>
          <w:szCs w:val="24"/>
          <w:highlight w:val="yellow"/>
        </w:rPr>
      </w:pPr>
      <w:r>
        <w:rPr>
          <w:rFonts w:ascii="Times New Roman" w:hAnsi="Times New Roman" w:eastAsia="Times New Roman" w:cs="Times New Roman"/>
          <w:sz w:val="24"/>
          <w:szCs w:val="24"/>
        </w:rPr>
        <w:t>Intellectual Humility shares with the concept of intercultural competence the emphasis on</w:t>
      </w:r>
      <w:r>
        <w:t xml:space="preserve">     </w:t>
      </w:r>
      <w:r>
        <w:rPr>
          <w:rFonts w:ascii="Times New Roman" w:hAnsi="Times New Roman" w:eastAsia="Times New Roman" w:cs="Times New Roman"/>
          <w:sz w:val="24"/>
          <w:szCs w:val="24"/>
        </w:rPr>
        <w:t xml:space="preserve"> being aware of others, and as we shall see below, we believe that characteristics of IH that are related to how we interact with others, are helpful in education for intercultural citizenship. In other words, in an era in which students are bombarded with fake facts, and in which blind convictions and intellectual arrogance counteract our ability to listen to each other and engage with each other in meaningful ways, we look to the virtue of intellectual humility to help prepare our students to become engaged and informed citizens. </w:t>
      </w:r>
    </w:p>
    <w:p w:rsidR="00FA60D5" w:rsidP="30383331" w:rsidRDefault="00B26DB1" w14:paraId="586B413B"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In order to use the concept of IH in intercultural dialogue and citizenship, we look at research that has been done to operationalize IH in education, as well as theoretical explorations of characteristics of IH that can be operationalized in the classroom. Garcia and King (2016) offer suggestions for how to support IH in education, developing “genuine self-understanding, mutual understanding, and healthy civic discourse” (p. 219). Others emphasize the importance of IH in work on critical thinking (e.g., Kidd, 2016b, Hazlett, 2016, Paul &amp; Elder, 2002). Paul and Elder (2002) in particular discuss traits of IH which we can connect to the knowledge, skills, </w:t>
      </w:r>
      <w:r w:rsidRPr="30383331" w:rsidR="00B26DB1">
        <w:rPr>
          <w:rFonts w:ascii="Times New Roman" w:hAnsi="Times New Roman" w:eastAsia="Times New Roman" w:cs="Times New Roman"/>
          <w:sz w:val="24"/>
          <w:szCs w:val="24"/>
          <w:lang w:val="en-US"/>
        </w:rPr>
        <w:t>attitudes and criticality of intercultural competence. For example, the trait “Students discover their own false beliefs, misconceptions, prejudices, illusions, and myths. They use this knowledge to gain better command of their minds” (Paul &amp; Elder, 2002, p.30) can be found in ‘critical cultural awareness’ in intercultural competence. Others include “3. Students suspend judgment about matters of which they are ignorant.”, and  “8. Students demonstrate awareness of and concern for the fact that they have been socially conditioned into the belief systems and worldview of their culture and nation (and naturally see their culture and nation as "correct" in its views). Students actively seek and carefully study the viewpoints of other cultures to gain new knowledge and insights.” (p.31). These are similar to the attitudes of curiosity and suspension of (dis)belief and to the concept of critical cultural awareness in intercultural competence.</w:t>
      </w:r>
    </w:p>
    <w:p w:rsidR="00FA60D5" w:rsidP="30383331" w:rsidRDefault="00B26DB1" w14:paraId="25B26654"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On the basis of such analysis, we have applied IH in world language and mathematics education (Wagner, Cardetti, Byram, 2019a; Wagner &amp; Álvarez Valencia, 2021), and there is evidence that teachers found the integration of IH useful for the success of their work. For example, one teacher stated that she found it “wonderful” that her students learned that they did not need to know everything. This echoes the perspective Watson (2021) takes on what she refers to as “answer-oriented education systems” where teachers ask questions and students are expected to answer. Watson considers this problematic because it prevents students from developing IH. Instead, she argues, we could design educational practices in which student questions are equally valorized and support the development of students’ IH. </w:t>
      </w:r>
    </w:p>
    <w:p w:rsidR="00FA60D5" w:rsidP="30383331" w:rsidRDefault="00B26DB1" w14:paraId="480C5B96"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The teachers just cited were working with a model of Intercultural Citizenship which has important connections with (critical) pedagogies that foster an environment in which students are curious, ask questions, co-investigate, critically evaluate, and finally take action.   </w:t>
      </w:r>
      <w:r>
        <w:tab/>
      </w:r>
    </w:p>
    <w:p w:rsidR="00FA60D5" w:rsidRDefault="00FA60D5" w14:paraId="1D2276BD" w14:textId="77777777">
      <w:pPr>
        <w:shd w:val="clear" w:color="auto" w:fill="FFFFFF"/>
        <w:spacing w:line="480" w:lineRule="auto"/>
        <w:rPr>
          <w:rFonts w:ascii="Times New Roman" w:hAnsi="Times New Roman" w:eastAsia="Times New Roman" w:cs="Times New Roman"/>
          <w:sz w:val="24"/>
          <w:szCs w:val="24"/>
        </w:rPr>
      </w:pPr>
    </w:p>
    <w:p w:rsidR="00FA60D5" w:rsidRDefault="00B26DB1" w14:paraId="4E32040E" w14:textId="77777777">
      <w:pPr>
        <w:shd w:val="clear" w:color="auto" w:fill="FFFFFF"/>
        <w:spacing w:line="480" w:lineRule="auto"/>
        <w:jc w:val="center"/>
        <w:rPr>
          <w:b/>
        </w:rPr>
      </w:pPr>
      <w:r>
        <w:rPr>
          <w:rFonts w:ascii="Times New Roman" w:hAnsi="Times New Roman" w:eastAsia="Times New Roman" w:cs="Times New Roman"/>
          <w:b/>
          <w:sz w:val="24"/>
          <w:szCs w:val="24"/>
        </w:rPr>
        <w:t>A New Pedagogical Model in Education</w:t>
      </w:r>
    </w:p>
    <w:p w:rsidR="00FA60D5" w:rsidP="30383331" w:rsidRDefault="00B26DB1" w14:paraId="6FD26D4B" w14:textId="77777777">
      <w:pPr>
        <w:shd w:val="clear" w:color="auto" w:fill="FFFFFF" w:themeFill="background1"/>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We have seen in a number of intercultural citizenship projects that students’ beliefs can change.</w:t>
      </w:r>
      <w:r w:rsidRPr="30383331" w:rsidR="00B26DB1">
        <w:rPr>
          <w:rFonts w:ascii="Times New Roman" w:hAnsi="Times New Roman" w:eastAsia="Times New Roman" w:cs="Times New Roman"/>
          <w:b w:val="1"/>
          <w:bCs w:val="1"/>
          <w:sz w:val="24"/>
          <w:szCs w:val="24"/>
          <w:lang w:val="en-US"/>
        </w:rPr>
        <w:t xml:space="preserve"> </w:t>
      </w:r>
      <w:r w:rsidRPr="30383331" w:rsidR="00B26DB1">
        <w:rPr>
          <w:rFonts w:ascii="Times New Roman" w:hAnsi="Times New Roman" w:eastAsia="Times New Roman" w:cs="Times New Roman"/>
          <w:sz w:val="24"/>
          <w:szCs w:val="24"/>
          <w:lang w:val="en-US"/>
        </w:rPr>
        <w:t xml:space="preserve">For example, middle and high school students have engaged in transnational collaborations through the internet between Argentina and Denmark to devise a plan for how to protect the environment (Porto et al., 2017); university students in the UK and in Argentina collaborated to reflect on the Malvinas/Falkland War at the 20-year anniversary (Porto &amp; Yulita, 2017); high school students of Spanish in the US acted as imaginary mediators for newly arrived immigrants </w:t>
      </w:r>
      <w:r w:rsidRPr="30383331" w:rsidR="00B26DB1">
        <w:rPr>
          <w:rFonts w:ascii="Times New Roman" w:hAnsi="Times New Roman" w:eastAsia="Times New Roman" w:cs="Times New Roman"/>
          <w:sz w:val="24"/>
          <w:szCs w:val="24"/>
          <w:lang w:val="en-US"/>
        </w:rPr>
        <w:t>from different backgrounds from</w:t>
      </w:r>
      <w:r w:rsidRPr="30383331" w:rsidR="00B26DB1">
        <w:rPr>
          <w:rFonts w:ascii="Times New Roman" w:hAnsi="Times New Roman" w:eastAsia="Times New Roman" w:cs="Times New Roman"/>
          <w:sz w:val="24"/>
          <w:szCs w:val="24"/>
          <w:highlight w:val="white"/>
          <w:lang w:val="en-US"/>
        </w:rPr>
        <w:t xml:space="preserve"> Puerto Rico, Cuba, Dominican Republic and Mexico (Wallace &amp; Tombarello-Noble, 20</w:t>
      </w:r>
      <w:r w:rsidRPr="30383331" w:rsidR="00B26DB1">
        <w:rPr>
          <w:rFonts w:ascii="Times New Roman" w:hAnsi="Times New Roman" w:eastAsia="Times New Roman" w:cs="Times New Roman"/>
          <w:sz w:val="24"/>
          <w:szCs w:val="24"/>
          <w:lang w:val="en-US"/>
        </w:rPr>
        <w:t xml:space="preserve">18; Bohling, Wagner, Cardetti, &amp; Byram, 2016). In all these projects, it could be observed that students had changed their perspectives, changes which can now be seen as related to the acquiring of intellectual humility. </w:t>
      </w:r>
    </w:p>
    <w:p w:rsidR="00FA60D5" w:rsidRDefault="00B26DB1" w14:paraId="76B7B8C6" w14:textId="77777777">
      <w:pPr>
        <w:shd w:val="clear" w:color="auto" w:fill="FFFFFF"/>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More recently, therefore, we have deliberately applied Whitcomb and colleagues’ “predictions related to a variety of activities, motivations, and feelings” of those who are intellectually humble (2017 p.520) (see appendix)  in a project in which we worked with high school teachers of German and Spanish and Mathematics (Wagner &amp; Álvarez Valencia, 2021), and we now share an example based on prior projects but geared toward developing a questioning attitude towards others’ and one’s own strong beliefs and convictions by fostering students’ IH and intercultural competence. </w:t>
      </w:r>
    </w:p>
    <w:p w:rsidR="00FA60D5" w:rsidP="30383331" w:rsidRDefault="00B26DB1" w14:paraId="01387EBE" w14:textId="77777777">
      <w:pPr>
        <w:shd w:val="clear" w:color="auto" w:fill="FFFFFF" w:themeFill="background1"/>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The example we present below is written in a way which does not specify a language level or age group. It sets out the general principles and structure which can be adapted to particular cases in different school subjects or university courses.</w:t>
      </w:r>
    </w:p>
    <w:p w:rsidR="00FA60D5" w:rsidP="30383331" w:rsidRDefault="00B26DB1" w14:paraId="6F62E768" w14:textId="77777777">
      <w:pPr>
        <w:widowControl w:val="0"/>
        <w:spacing w:before="200"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The unit deals with the Covid-19 pandemic that, at the time of writing, is still ongoing at various levels of severity across the world. It started at the beginning of 2020 and caused lockdowns in places all over the world. As mentioned in the introduction to this chapter, it clearly showed how interconnected the world is, and also revealed glaring inequities within and across national borders. We chose the topic of Covid-19 because there had been a number of incidents that showed how convictions of different groups caused conflicts and led to protests and other consequences (for more information see news articles cited in the unit below). The guiding question for the unit is: </w:t>
      </w:r>
      <w:r w:rsidRPr="30383331" w:rsidR="00B26DB1">
        <w:rPr>
          <w:rFonts w:ascii="Times New Roman" w:hAnsi="Times New Roman" w:eastAsia="Times New Roman" w:cs="Times New Roman"/>
          <w:b w:val="1"/>
          <w:bCs w:val="1"/>
          <w:sz w:val="24"/>
          <w:szCs w:val="24"/>
          <w:lang w:val="en-US"/>
        </w:rPr>
        <w:t>“</w:t>
      </w:r>
      <w:r w:rsidRPr="30383331" w:rsidR="00B26DB1">
        <w:rPr>
          <w:rFonts w:ascii="Times New Roman" w:hAnsi="Times New Roman" w:eastAsia="Times New Roman" w:cs="Times New Roman"/>
          <w:sz w:val="24"/>
          <w:szCs w:val="24"/>
          <w:lang w:val="en-US"/>
        </w:rPr>
        <w:t>What are some convictions related to the pandemic that people held in different contexts and that led to conflicts/problems?” Students are encouraged from the beginning and as the unit develops to think of an “action in the community” they wish to plan in the course of the unit. For example, students were encouraged to consider creating a website with information on Covid-19, a blog, conducting radio interviews, drafting information to provide to their family members, etc.</w:t>
      </w:r>
    </w:p>
    <w:p w:rsidR="00FA60D5" w:rsidP="30383331" w:rsidRDefault="00B26DB1" w14:paraId="40547D50"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Throughout this unit, teachers engage in activities with students that facilitate reflection about the origins of beliefs and convictions. For example, teachers can elicit first thoughts on how strongly students identify with ‘our’ convictions and how much they think those with different convictions identify with ‘theirs’. Understanding connections between convictions and </w:t>
      </w:r>
      <w:r w:rsidRPr="30383331" w:rsidR="00B26DB1">
        <w:rPr>
          <w:rFonts w:ascii="Times New Roman" w:hAnsi="Times New Roman" w:eastAsia="Times New Roman" w:cs="Times New Roman"/>
          <w:sz w:val="24"/>
          <w:szCs w:val="24"/>
          <w:lang w:val="en-US"/>
        </w:rPr>
        <w:t>identities is a first step towards being able to take a step back and analyse our feelings when we feel threatened, when we are confronted with a conviction that does not match our own. The goal is to use one’s critical cultural awareness and intellectual humility to become curious about the origin of and reasons and support for our convictions.</w:t>
      </w:r>
    </w:p>
    <w:p w:rsidR="00FA60D5" w:rsidRDefault="00FA60D5" w14:paraId="04584719" w14:textId="77777777">
      <w:pPr>
        <w:widowControl w:val="0"/>
        <w:spacing w:line="360" w:lineRule="auto"/>
        <w:rPr>
          <w:rFonts w:ascii="Times New Roman" w:hAnsi="Times New Roman" w:eastAsia="Times New Roman" w:cs="Times New Roman"/>
          <w:sz w:val="24"/>
          <w:szCs w:val="24"/>
        </w:rPr>
      </w:pPr>
    </w:p>
    <w:tbl>
      <w:tblPr>
        <w:tblStyle w:val="aff1"/>
        <w:tblW w:w="936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9360"/>
      </w:tblGrid>
      <w:tr w:rsidR="00FA60D5" w:rsidTr="30383331" w14:paraId="27F98E55" w14:textId="77777777">
        <w:tc>
          <w:tcPr>
            <w:tcW w:w="9360" w:type="dxa"/>
            <w:shd w:val="clear" w:color="auto" w:fill="auto"/>
            <w:tcMar>
              <w:top w:w="100" w:type="dxa"/>
              <w:left w:w="100" w:type="dxa"/>
              <w:bottom w:w="100" w:type="dxa"/>
              <w:right w:w="100" w:type="dxa"/>
            </w:tcMar>
          </w:tcPr>
          <w:p w:rsidR="00FA60D5" w:rsidRDefault="00B26DB1" w14:paraId="49AC462D" w14:textId="77777777">
            <w:pPr>
              <w:widowControl w:val="0"/>
              <w:spacing w:line="360" w:lineRule="auto"/>
              <w:jc w:val="center"/>
              <w:rPr>
                <w:rFonts w:ascii="Times New Roman" w:hAnsi="Times New Roman" w:eastAsia="Times New Roman" w:cs="Times New Roman"/>
                <w:b/>
              </w:rPr>
            </w:pPr>
            <w:r>
              <w:rPr>
                <w:rFonts w:ascii="Times New Roman" w:hAnsi="Times New Roman" w:eastAsia="Times New Roman" w:cs="Times New Roman"/>
                <w:b/>
              </w:rPr>
              <w:t>General Structure</w:t>
            </w:r>
          </w:p>
          <w:p w:rsidR="00FA60D5" w:rsidRDefault="00FA60D5" w14:paraId="710CF9BF" w14:textId="77777777">
            <w:pPr>
              <w:widowControl w:val="0"/>
              <w:spacing w:line="360" w:lineRule="auto"/>
              <w:jc w:val="center"/>
              <w:rPr>
                <w:rFonts w:ascii="Times New Roman" w:hAnsi="Times New Roman" w:eastAsia="Times New Roman" w:cs="Times New Roman"/>
                <w:b/>
              </w:rPr>
            </w:pPr>
          </w:p>
          <w:p w:rsidR="00FA60D5" w:rsidRDefault="00B26DB1" w14:paraId="19D60695" w14:textId="77777777">
            <w:pPr>
              <w:widowControl w:val="0"/>
              <w:spacing w:line="36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Pr>
              <w:t>Preparing an account of the topic</w:t>
            </w:r>
          </w:p>
          <w:p w:rsidR="00FA60D5" w:rsidP="30383331" w:rsidRDefault="00B26DB1" w14:paraId="42C72EB6" w14:textId="77777777">
            <w:pPr>
              <w:widowControl w:val="0"/>
              <w:spacing w:line="360" w:lineRule="auto"/>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b w:val="1"/>
                <w:bCs w:val="1"/>
                <w:sz w:val="24"/>
                <w:szCs w:val="24"/>
                <w:lang w:val="en-US"/>
              </w:rPr>
              <w:t xml:space="preserve">Step 1: </w:t>
            </w:r>
            <w:r w:rsidRPr="30383331" w:rsidR="00B26DB1">
              <w:rPr>
                <w:rFonts w:ascii="Times New Roman" w:hAnsi="Times New Roman" w:eastAsia="Times New Roman" w:cs="Times New Roman"/>
                <w:sz w:val="24"/>
                <w:szCs w:val="24"/>
                <w:lang w:val="en-US"/>
              </w:rPr>
              <w:t>Discovery about our community and preparing an account for ‘them’ (ICit)</w:t>
            </w:r>
          </w:p>
          <w:p w:rsidR="00FA60D5" w:rsidP="30383331" w:rsidRDefault="00B26DB1" w14:paraId="6E57D8E0" w14:textId="77777777">
            <w:pPr>
              <w:widowControl w:val="0"/>
              <w:spacing w:line="360" w:lineRule="auto"/>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b w:val="1"/>
                <w:bCs w:val="1"/>
                <w:sz w:val="24"/>
                <w:szCs w:val="24"/>
                <w:lang w:val="en-US"/>
              </w:rPr>
              <w:t xml:space="preserve">Step 2: </w:t>
            </w:r>
            <w:r w:rsidRPr="30383331" w:rsidR="00B26DB1">
              <w:rPr>
                <w:rFonts w:ascii="Times New Roman" w:hAnsi="Times New Roman" w:eastAsia="Times New Roman" w:cs="Times New Roman"/>
                <w:sz w:val="24"/>
                <w:szCs w:val="24"/>
                <w:lang w:val="en-US"/>
              </w:rPr>
              <w:t>Discovery about our partners’ community in order to know how to prepare i.e. what ‘their’ existing assumptions might be (IH)</w:t>
            </w:r>
          </w:p>
          <w:p w:rsidR="00FA60D5" w:rsidRDefault="00FA60D5" w14:paraId="3B2804A2" w14:textId="77777777">
            <w:pPr>
              <w:widowControl w:val="0"/>
              <w:spacing w:line="360" w:lineRule="auto"/>
              <w:rPr>
                <w:rFonts w:ascii="Times New Roman" w:hAnsi="Times New Roman" w:eastAsia="Times New Roman" w:cs="Times New Roman"/>
                <w:b/>
                <w:sz w:val="24"/>
                <w:szCs w:val="24"/>
              </w:rPr>
            </w:pPr>
          </w:p>
          <w:p w:rsidR="00FA60D5" w:rsidP="30383331" w:rsidRDefault="00B26DB1" w14:paraId="09468D0D" w14:textId="77777777">
            <w:pPr>
              <w:widowControl w:val="0"/>
              <w:spacing w:line="360" w:lineRule="auto"/>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b w:val="1"/>
                <w:bCs w:val="1"/>
                <w:sz w:val="24"/>
                <w:szCs w:val="24"/>
                <w:lang w:val="en-US"/>
              </w:rPr>
              <w:t xml:space="preserve">Note that we investigate our own context (we/our/us) </w:t>
            </w:r>
            <w:r w:rsidRPr="30383331" w:rsidR="00B26DB1">
              <w:rPr>
                <w:rFonts w:ascii="Times New Roman" w:hAnsi="Times New Roman" w:eastAsia="Times New Roman" w:cs="Times New Roman"/>
                <w:sz w:val="24"/>
                <w:szCs w:val="24"/>
                <w:lang w:val="en-US"/>
              </w:rPr>
              <w:t>and another (unknown or less known) context (they, their, them) to gain a better understanding of our own context and the existing knowledge, but also possible preconceptions, prejudices, stereotypes, and misconceptions about our own and another context.</w:t>
            </w:r>
          </w:p>
          <w:p w:rsidR="00FA60D5" w:rsidRDefault="00FA60D5" w14:paraId="729DE929" w14:textId="77777777">
            <w:pPr>
              <w:widowControl w:val="0"/>
              <w:spacing w:line="360" w:lineRule="auto"/>
              <w:rPr>
                <w:rFonts w:ascii="Times New Roman" w:hAnsi="Times New Roman" w:eastAsia="Times New Roman" w:cs="Times New Roman"/>
                <w:b/>
                <w:sz w:val="24"/>
                <w:szCs w:val="24"/>
              </w:rPr>
            </w:pPr>
          </w:p>
          <w:p w:rsidR="00FA60D5" w:rsidRDefault="00B26DB1" w14:paraId="2F06C800" w14:textId="77777777">
            <w:pPr>
              <w:widowControl w:val="0"/>
              <w:spacing w:line="36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Pr>
              <w:t>Comparing, contrasting, and critically reflecting on the two communities</w:t>
            </w:r>
          </w:p>
          <w:p w:rsidR="00FA60D5" w:rsidP="30383331" w:rsidRDefault="00B26DB1" w14:paraId="32337673"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b w:val="1"/>
                <w:bCs w:val="1"/>
                <w:sz w:val="24"/>
                <w:szCs w:val="24"/>
                <w:lang w:val="en-US"/>
              </w:rPr>
              <w:t xml:space="preserve">Step 3: </w:t>
            </w:r>
            <w:r w:rsidRPr="30383331" w:rsidR="00B26DB1">
              <w:rPr>
                <w:rFonts w:ascii="Times New Roman" w:hAnsi="Times New Roman" w:eastAsia="Times New Roman" w:cs="Times New Roman"/>
                <w:sz w:val="24"/>
                <w:szCs w:val="24"/>
                <w:lang w:val="en-US"/>
              </w:rPr>
              <w:t>Presentation of ‘our community’ to them and discuss similarities and differences (ICit)</w:t>
            </w:r>
          </w:p>
          <w:p w:rsidR="00FA60D5" w:rsidRDefault="00B26DB1" w14:paraId="7B53FA6E"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b/>
                <w:sz w:val="24"/>
                <w:szCs w:val="24"/>
              </w:rPr>
              <w:t>Step 4:</w:t>
            </w:r>
            <w:r>
              <w:rPr>
                <w:rFonts w:ascii="Times New Roman" w:hAnsi="Times New Roman" w:eastAsia="Times New Roman" w:cs="Times New Roman"/>
                <w:sz w:val="24"/>
                <w:szCs w:val="24"/>
              </w:rPr>
              <w:t xml:space="preserve"> Joint critical examination (IH)</w:t>
            </w:r>
          </w:p>
          <w:p w:rsidR="00FA60D5" w:rsidRDefault="00FA60D5" w14:paraId="5FBB5A4D" w14:textId="77777777">
            <w:pPr>
              <w:widowControl w:val="0"/>
              <w:spacing w:line="360" w:lineRule="auto"/>
              <w:rPr>
                <w:rFonts w:ascii="Times New Roman" w:hAnsi="Times New Roman" w:eastAsia="Times New Roman" w:cs="Times New Roman"/>
                <w:sz w:val="24"/>
                <w:szCs w:val="24"/>
              </w:rPr>
            </w:pPr>
          </w:p>
          <w:p w:rsidR="00FA60D5" w:rsidP="30383331" w:rsidRDefault="00B26DB1" w14:paraId="31841E0E" w14:textId="77777777">
            <w:pPr>
              <w:widowControl w:val="0"/>
              <w:spacing w:line="360" w:lineRule="auto"/>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b w:val="1"/>
                <w:bCs w:val="1"/>
                <w:sz w:val="24"/>
                <w:szCs w:val="24"/>
                <w:lang w:val="en-US"/>
              </w:rPr>
              <w:t>Preparing and taking action</w:t>
            </w:r>
          </w:p>
          <w:p w:rsidR="00FA60D5" w:rsidP="30383331" w:rsidRDefault="00B26DB1" w14:paraId="3481D002"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b w:val="1"/>
                <w:bCs w:val="1"/>
                <w:sz w:val="24"/>
                <w:szCs w:val="24"/>
                <w:lang w:val="en-US"/>
              </w:rPr>
              <w:t xml:space="preserve">Step 5: </w:t>
            </w:r>
            <w:r w:rsidRPr="30383331" w:rsidR="00B26DB1">
              <w:rPr>
                <w:rFonts w:ascii="Times New Roman" w:hAnsi="Times New Roman" w:eastAsia="Times New Roman" w:cs="Times New Roman"/>
                <w:sz w:val="24"/>
                <w:szCs w:val="24"/>
                <w:lang w:val="en-US"/>
              </w:rPr>
              <w:t>In teams, preparing actions for our respective communities (ICit)</w:t>
            </w:r>
          </w:p>
          <w:p w:rsidR="00FA60D5" w:rsidP="30383331" w:rsidRDefault="00B26DB1" w14:paraId="7315BD28"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b w:val="1"/>
                <w:bCs w:val="1"/>
                <w:sz w:val="24"/>
                <w:szCs w:val="24"/>
                <w:lang w:val="en-US"/>
              </w:rPr>
              <w:t>Step 6:</w:t>
            </w:r>
            <w:r w:rsidRPr="30383331" w:rsidR="00B26DB1">
              <w:rPr>
                <w:rFonts w:ascii="Times New Roman" w:hAnsi="Times New Roman" w:eastAsia="Times New Roman" w:cs="Times New Roman"/>
                <w:sz w:val="24"/>
                <w:szCs w:val="24"/>
                <w:lang w:val="en-US"/>
              </w:rPr>
              <w:t xml:space="preserve"> Taking action in our own community (the action is different from what it would have been if we had not had an intercultural perspective (ICit)</w:t>
            </w:r>
          </w:p>
          <w:p w:rsidR="00FA60D5" w:rsidRDefault="00B26DB1" w14:paraId="24069EF8"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b/>
                <w:sz w:val="24"/>
                <w:szCs w:val="24"/>
              </w:rPr>
              <w:t>Step 7:</w:t>
            </w:r>
            <w:r>
              <w:rPr>
                <w:rFonts w:ascii="Times New Roman" w:hAnsi="Times New Roman" w:eastAsia="Times New Roman" w:cs="Times New Roman"/>
                <w:sz w:val="24"/>
                <w:szCs w:val="24"/>
              </w:rPr>
              <w:t xml:space="preserve"> Reflection on learning (specifically on understanding of how convictions influence our own actions and those of others (IH and analysis of convictions)</w:t>
            </w:r>
          </w:p>
          <w:p w:rsidR="00FA60D5" w:rsidP="30383331" w:rsidRDefault="00B26DB1" w14:paraId="2D0D5840"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This general structure is developed from projects on intercultural citizenship. Steps 2 and 5 are an addition from intellectual humility. Step 8 is another addition from the perspective of intellectual humility and analysis of convictions.</w:t>
            </w:r>
          </w:p>
          <w:p w:rsidR="00FA60D5" w:rsidRDefault="00B26DB1" w14:paraId="73FF6604"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Each step may have variations within it and may take longer or shorter time depending on age and language levels.</w:t>
            </w:r>
          </w:p>
        </w:tc>
      </w:tr>
    </w:tbl>
    <w:p w:rsidR="00FA60D5" w:rsidRDefault="00FA60D5" w14:paraId="2BD6157E" w14:textId="77777777">
      <w:pPr>
        <w:widowControl w:val="0"/>
        <w:spacing w:line="480" w:lineRule="auto"/>
        <w:rPr>
          <w:rFonts w:ascii="Times New Roman" w:hAnsi="Times New Roman" w:eastAsia="Times New Roman" w:cs="Times New Roman"/>
          <w:sz w:val="24"/>
          <w:szCs w:val="24"/>
        </w:rPr>
      </w:pPr>
    </w:p>
    <w:p w:rsidR="00FA60D5" w:rsidRDefault="00B26DB1" w14:paraId="4F03489B" w14:textId="77777777">
      <w:pPr>
        <w:widowControl w:val="0"/>
        <w:spacing w:line="36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Pr>
        <w:t>Preparing an account of the topic</w:t>
      </w:r>
    </w:p>
    <w:p w:rsidR="00FA60D5" w:rsidP="30383331" w:rsidRDefault="00B26DB1" w14:paraId="4C05473D"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b w:val="1"/>
          <w:bCs w:val="1"/>
          <w:sz w:val="24"/>
          <w:szCs w:val="24"/>
          <w:lang w:val="en-US"/>
        </w:rPr>
        <w:t xml:space="preserve">Step 1: </w:t>
      </w:r>
      <w:r w:rsidRPr="30383331" w:rsidR="00B26DB1">
        <w:rPr>
          <w:rFonts w:ascii="Times New Roman" w:hAnsi="Times New Roman" w:eastAsia="Times New Roman" w:cs="Times New Roman"/>
          <w:sz w:val="24"/>
          <w:szCs w:val="24"/>
          <w:lang w:val="en-US"/>
        </w:rPr>
        <w:t>Discovery about our community and preparing an account for ‘them’ (ICit)</w:t>
      </w:r>
    </w:p>
    <w:p w:rsidR="00FA60D5" w:rsidRDefault="00FA60D5" w14:paraId="018ABC57" w14:textId="77777777">
      <w:pPr>
        <w:widowControl w:val="0"/>
        <w:spacing w:line="360" w:lineRule="auto"/>
        <w:ind w:left="720"/>
        <w:rPr>
          <w:rFonts w:ascii="Times New Roman" w:hAnsi="Times New Roman" w:eastAsia="Times New Roman" w:cs="Times New Roman"/>
          <w:i/>
          <w:sz w:val="24"/>
          <w:szCs w:val="24"/>
        </w:rPr>
      </w:pPr>
    </w:p>
    <w:p w:rsidR="00FA60D5" w:rsidP="30383331" w:rsidRDefault="00B26DB1" w14:paraId="42680C87" w14:textId="77777777">
      <w:pPr>
        <w:widowControl w:val="0"/>
        <w:spacing w:line="360" w:lineRule="auto"/>
        <w:ind w:left="720"/>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i w:val="1"/>
          <w:iCs w:val="1"/>
          <w:sz w:val="24"/>
          <w:szCs w:val="24"/>
          <w:lang w:val="en-US"/>
        </w:rPr>
        <w:t>Activating prior knowledge and possible preconceptions</w:t>
      </w:r>
    </w:p>
    <w:p w:rsidR="00FA60D5" w:rsidRDefault="00FA60D5" w14:paraId="2CB5765B" w14:textId="77777777">
      <w:pPr>
        <w:widowControl w:val="0"/>
        <w:spacing w:line="360" w:lineRule="auto"/>
        <w:rPr>
          <w:rFonts w:ascii="Times New Roman" w:hAnsi="Times New Roman" w:eastAsia="Times New Roman" w:cs="Times New Roman"/>
          <w:sz w:val="24"/>
          <w:szCs w:val="24"/>
        </w:rPr>
      </w:pPr>
    </w:p>
    <w:p w:rsidR="00FA60D5" w:rsidP="30383331" w:rsidRDefault="00B26DB1" w14:paraId="488A41CC"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What do we know about the Covid-19 pandemic? This step should bring to light existing convictions students might have. For example, students might identify the convictions that “Vaccines are more dangerous than the virus,” or that “Personal freedom is more important than fighting the virus together.”</w:t>
      </w:r>
    </w:p>
    <w:p w:rsidR="00FA60D5" w:rsidP="30383331" w:rsidRDefault="00B26DB1" w14:paraId="7B0B068C"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Next, students complete an activity related to the IH prediction “</w:t>
      </w:r>
      <w:r w:rsidRPr="30383331" w:rsidR="00B26DB1">
        <w:rPr>
          <w:rFonts w:ascii="Times New Roman" w:hAnsi="Times New Roman" w:eastAsia="Times New Roman" w:cs="Times New Roman"/>
          <w:i w:val="1"/>
          <w:iCs w:val="1"/>
          <w:sz w:val="24"/>
          <w:szCs w:val="24"/>
          <w:lang w:val="en-US"/>
        </w:rPr>
        <w:t xml:space="preserve">IH reduces both a person’s propensity to pretend to know something when they don’t and their confidently answering a question whether or not they know the answer (think: “male answer syndrome”)”. </w:t>
      </w:r>
      <w:r w:rsidRPr="30383331" w:rsidR="00B26DB1">
        <w:rPr>
          <w:rFonts w:ascii="Times New Roman" w:hAnsi="Times New Roman" w:eastAsia="Times New Roman" w:cs="Times New Roman"/>
          <w:sz w:val="24"/>
          <w:szCs w:val="24"/>
          <w:lang w:val="en-US"/>
        </w:rPr>
        <w:t xml:space="preserve">(See appendix for this and further IH predictions referred to below). For example, students </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start filling out the first parts of a KWL chart (See figure 1 below) which reflects what they know (K), would like to know (W), and have learned (L); they can do this </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either alone or in pairs. KWL charts are much used but </w:t>
      </w:r>
      <w:r w:rsidRPr="30383331" w:rsidR="00B26DB1">
        <w:rPr>
          <w:lang w:val="en-US"/>
        </w:rPr>
        <w:t xml:space="preserve"> </w:t>
      </w:r>
      <w:r w:rsidRPr="30383331" w:rsidR="00B26DB1">
        <w:rPr>
          <w:rFonts w:ascii="Times New Roman" w:hAnsi="Times New Roman" w:eastAsia="Times New Roman" w:cs="Times New Roman"/>
          <w:sz w:val="24"/>
          <w:szCs w:val="24"/>
          <w:lang w:val="en-US"/>
        </w:rPr>
        <w:t>we modify the KWL format to add “S” indicating the sources students use. Sources are important as students can use them to evaluate the reliability of the information. Furthermore, sources provide the opportunity for others to check and interpret the information for themselves. This could be accompanied by questions such as, “How confident are you that your knowledge is correct? Is your knowledge backed up by evidence? What is the source of your knowledge?” Conversations about the reliability of sources and how to check this are</w:t>
      </w:r>
      <w:r w:rsidRPr="30383331" w:rsidR="00B26DB1">
        <w:rPr>
          <w:lang w:val="en-US"/>
        </w:rPr>
        <w:t xml:space="preserve"> </w:t>
      </w:r>
      <w:r w:rsidRPr="30383331" w:rsidR="00B26DB1">
        <w:rPr>
          <w:rFonts w:ascii="Times New Roman" w:hAnsi="Times New Roman" w:eastAsia="Times New Roman" w:cs="Times New Roman"/>
          <w:sz w:val="24"/>
          <w:szCs w:val="24"/>
          <w:lang w:val="en-US"/>
        </w:rPr>
        <w:t>an important part of such activities, as students thereby gain information and digital and media literacy. This step of interpretation, comparison, and analysis helps students gain knowledge</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from different perspectives. </w:t>
      </w:r>
    </w:p>
    <w:p w:rsidR="00FA60D5" w:rsidP="30383331" w:rsidRDefault="00B26DB1" w14:paraId="71072816"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Looking at different sources supports students’ intellectual humility as they gain a better understanding of what they know and what they don’t know while giving credit where appropriate to sources. If students learn information (from different sources and different </w:t>
      </w:r>
      <w:r w:rsidRPr="30383331" w:rsidR="00B26DB1">
        <w:rPr>
          <w:rFonts w:ascii="Times New Roman" w:hAnsi="Times New Roman" w:eastAsia="Times New Roman" w:cs="Times New Roman"/>
          <w:sz w:val="24"/>
          <w:szCs w:val="24"/>
          <w:lang w:val="en-US"/>
        </w:rPr>
        <w:t>perspectives) which is contradictory to their  convictions, teachers can stimulate</w:t>
      </w:r>
      <w:r w:rsidRPr="30383331" w:rsidR="00B26DB1">
        <w:rPr>
          <w:lang w:val="en-US"/>
        </w:rPr>
        <w:t xml:space="preserve"> </w:t>
      </w:r>
      <w:r w:rsidRPr="30383331" w:rsidR="00B26DB1">
        <w:rPr>
          <w:rFonts w:ascii="Times New Roman" w:hAnsi="Times New Roman" w:eastAsia="Times New Roman" w:cs="Times New Roman"/>
          <w:sz w:val="24"/>
          <w:szCs w:val="24"/>
          <w:lang w:val="en-US"/>
        </w:rPr>
        <w:t>reflections that might help students be open-minded rather than feeling threatened by this new information. For example, students are asked to find evidence to support a different position. They can also be asked to hypothesize about possible reasons why someone might have a different opinion on the topic. As we will explore later, the technique of asking students to act as experts and representatives of a different position can help them distance themselves from their own position without feeling threatened since</w:t>
      </w:r>
      <w:r w:rsidRPr="30383331" w:rsidR="00B26DB1">
        <w:rPr>
          <w:lang w:val="en-US"/>
        </w:rPr>
        <w:t xml:space="preserve"> </w:t>
      </w:r>
      <w:r w:rsidRPr="30383331" w:rsidR="00B26DB1">
        <w:rPr>
          <w:rFonts w:ascii="Times New Roman" w:hAnsi="Times New Roman" w:eastAsia="Times New Roman" w:cs="Times New Roman"/>
          <w:sz w:val="24"/>
          <w:szCs w:val="24"/>
          <w:lang w:val="en-US"/>
        </w:rPr>
        <w:t>they don’t defend a conviction they hold themselves and thereby don’t feel threatened in their identity.</w:t>
      </w:r>
    </w:p>
    <w:p w:rsidR="00FA60D5" w:rsidRDefault="00FA60D5" w14:paraId="3A99BE51" w14:textId="77777777">
      <w:pPr>
        <w:widowControl w:val="0"/>
        <w:spacing w:line="360" w:lineRule="auto"/>
        <w:rPr>
          <w:rFonts w:ascii="Times New Roman" w:hAnsi="Times New Roman" w:eastAsia="Times New Roman" w:cs="Times New Roman"/>
          <w:sz w:val="24"/>
          <w:szCs w:val="24"/>
        </w:rPr>
      </w:pPr>
    </w:p>
    <w:p w:rsidR="00FA60D5" w:rsidRDefault="00B26DB1" w14:paraId="3726F9AD"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Students complete the KWL charts either alone or in pairs. </w:t>
      </w:r>
    </w:p>
    <w:p w:rsidR="00FA60D5" w:rsidRDefault="00FA60D5" w14:paraId="6D4529ED" w14:textId="77777777">
      <w:pPr>
        <w:widowControl w:val="0"/>
        <w:spacing w:line="480" w:lineRule="auto"/>
        <w:rPr>
          <w:rFonts w:ascii="Times New Roman" w:hAnsi="Times New Roman" w:eastAsia="Times New Roman" w:cs="Times New Roman"/>
          <w:sz w:val="24"/>
          <w:szCs w:val="24"/>
        </w:rPr>
      </w:pPr>
    </w:p>
    <w:tbl>
      <w:tblPr>
        <w:tblStyle w:val="aff2"/>
        <w:tblW w:w="8865" w:type="dxa"/>
        <w:tblBorders>
          <w:top w:val="nil"/>
          <w:left w:val="nil"/>
          <w:bottom w:val="nil"/>
          <w:right w:val="nil"/>
          <w:insideH w:val="nil"/>
          <w:insideV w:val="nil"/>
        </w:tblBorders>
        <w:tblLayout w:type="fixed"/>
        <w:tblLook w:val="0600" w:firstRow="0" w:lastRow="0" w:firstColumn="0" w:lastColumn="0" w:noHBand="1" w:noVBand="1"/>
      </w:tblPr>
      <w:tblGrid>
        <w:gridCol w:w="2235"/>
        <w:gridCol w:w="2235"/>
        <w:gridCol w:w="2265"/>
        <w:gridCol w:w="2130"/>
      </w:tblGrid>
      <w:tr w:rsidR="00FA60D5" w14:paraId="1C89D665" w14:textId="77777777">
        <w:trPr>
          <w:trHeight w:val="785"/>
        </w:trPr>
        <w:tc>
          <w:tcPr>
            <w:tcW w:w="2235" w:type="dxa"/>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rsidR="00FA60D5" w:rsidRDefault="00B26DB1" w14:paraId="11665F43"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K: What do you know?</w:t>
            </w:r>
          </w:p>
        </w:tc>
        <w:tc>
          <w:tcPr>
            <w:tcW w:w="2235" w:type="dxa"/>
            <w:tcBorders>
              <w:top w:val="single" w:color="000000" w:sz="8" w:space="0"/>
              <w:left w:val="nil"/>
              <w:bottom w:val="single" w:color="000000" w:sz="8" w:space="0"/>
              <w:right w:val="single" w:color="000000" w:sz="8" w:space="0"/>
            </w:tcBorders>
            <w:tcMar>
              <w:top w:w="100" w:type="dxa"/>
              <w:left w:w="100" w:type="dxa"/>
              <w:bottom w:w="100" w:type="dxa"/>
              <w:right w:w="100" w:type="dxa"/>
            </w:tcMar>
          </w:tcPr>
          <w:p w:rsidR="00FA60D5" w:rsidRDefault="00B26DB1" w14:paraId="1F61520D"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 What would you like to know?</w:t>
            </w:r>
          </w:p>
        </w:tc>
        <w:tc>
          <w:tcPr>
            <w:tcW w:w="2265" w:type="dxa"/>
            <w:tcBorders>
              <w:top w:val="single" w:color="000000" w:sz="8" w:space="0"/>
              <w:left w:val="nil"/>
              <w:bottom w:val="single" w:color="000000" w:sz="8" w:space="0"/>
              <w:right w:val="single" w:color="000000" w:sz="8" w:space="0"/>
            </w:tcBorders>
            <w:tcMar>
              <w:top w:w="100" w:type="dxa"/>
              <w:left w:w="100" w:type="dxa"/>
              <w:bottom w:w="100" w:type="dxa"/>
              <w:right w:w="100" w:type="dxa"/>
            </w:tcMar>
          </w:tcPr>
          <w:p w:rsidR="00FA60D5" w:rsidRDefault="00B26DB1" w14:paraId="739585DA"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L: What did you learn?</w:t>
            </w:r>
          </w:p>
        </w:tc>
        <w:tc>
          <w:tcPr>
            <w:tcW w:w="2130" w:type="dxa"/>
            <w:tcBorders>
              <w:top w:val="single" w:color="000000" w:sz="8" w:space="0"/>
              <w:left w:val="nil"/>
              <w:bottom w:val="single" w:color="000000" w:sz="8" w:space="0"/>
              <w:right w:val="single" w:color="000000" w:sz="8" w:space="0"/>
            </w:tcBorders>
            <w:tcMar>
              <w:top w:w="100" w:type="dxa"/>
              <w:left w:w="100" w:type="dxa"/>
              <w:bottom w:w="100" w:type="dxa"/>
              <w:right w:w="100" w:type="dxa"/>
            </w:tcMar>
          </w:tcPr>
          <w:p w:rsidR="00FA60D5" w:rsidRDefault="00B26DB1" w14:paraId="4A3CE0D3"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 What are your sources?</w:t>
            </w:r>
          </w:p>
        </w:tc>
      </w:tr>
      <w:tr w:rsidR="00FA60D5" w14:paraId="2AB3E209" w14:textId="77777777">
        <w:trPr>
          <w:trHeight w:val="500"/>
        </w:trPr>
        <w:tc>
          <w:tcPr>
            <w:tcW w:w="2235" w:type="dxa"/>
            <w:tcBorders>
              <w:top w:val="nil"/>
              <w:left w:val="single" w:color="000000" w:sz="8" w:space="0"/>
              <w:bottom w:val="single" w:color="000000" w:sz="8" w:space="0"/>
              <w:right w:val="single" w:color="000000" w:sz="8" w:space="0"/>
            </w:tcBorders>
            <w:tcMar>
              <w:top w:w="100" w:type="dxa"/>
              <w:left w:w="100" w:type="dxa"/>
              <w:bottom w:w="100" w:type="dxa"/>
              <w:right w:w="100" w:type="dxa"/>
            </w:tcMar>
          </w:tcPr>
          <w:p w:rsidR="00FA60D5" w:rsidRDefault="00B26DB1" w14:paraId="6EF2AF10"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235"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6F32F8DD"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265"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11822076"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130"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4824112E"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r>
      <w:tr w:rsidR="00FA60D5" w14:paraId="0306414C" w14:textId="77777777">
        <w:trPr>
          <w:trHeight w:val="500"/>
        </w:trPr>
        <w:tc>
          <w:tcPr>
            <w:tcW w:w="2235" w:type="dxa"/>
            <w:tcBorders>
              <w:top w:val="nil"/>
              <w:left w:val="single" w:color="000000" w:sz="8" w:space="0"/>
              <w:bottom w:val="single" w:color="000000" w:sz="8" w:space="0"/>
              <w:right w:val="single" w:color="000000" w:sz="8" w:space="0"/>
            </w:tcBorders>
            <w:tcMar>
              <w:top w:w="100" w:type="dxa"/>
              <w:left w:w="100" w:type="dxa"/>
              <w:bottom w:w="100" w:type="dxa"/>
              <w:right w:w="100" w:type="dxa"/>
            </w:tcMar>
          </w:tcPr>
          <w:p w:rsidR="00FA60D5" w:rsidRDefault="00B26DB1" w14:paraId="51F34251"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235"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7C440F77"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265"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5A12339A"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130"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07528007"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r>
      <w:tr w:rsidR="00FA60D5" w14:paraId="16CA6A7C" w14:textId="77777777">
        <w:trPr>
          <w:trHeight w:val="500"/>
        </w:trPr>
        <w:tc>
          <w:tcPr>
            <w:tcW w:w="2235" w:type="dxa"/>
            <w:tcBorders>
              <w:top w:val="nil"/>
              <w:left w:val="single" w:color="000000" w:sz="8" w:space="0"/>
              <w:bottom w:val="single" w:color="000000" w:sz="8" w:space="0"/>
              <w:right w:val="single" w:color="000000" w:sz="8" w:space="0"/>
            </w:tcBorders>
            <w:tcMar>
              <w:top w:w="100" w:type="dxa"/>
              <w:left w:w="100" w:type="dxa"/>
              <w:bottom w:w="100" w:type="dxa"/>
              <w:right w:w="100" w:type="dxa"/>
            </w:tcMar>
          </w:tcPr>
          <w:p w:rsidR="00FA60D5" w:rsidRDefault="00B26DB1" w14:paraId="2203AF4B"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235"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026889F3"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265"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7F80CE25"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c>
          <w:tcPr>
            <w:tcW w:w="2130" w:type="dxa"/>
            <w:tcBorders>
              <w:top w:val="nil"/>
              <w:left w:val="nil"/>
              <w:bottom w:val="single" w:color="000000" w:sz="8" w:space="0"/>
              <w:right w:val="single" w:color="000000" w:sz="8" w:space="0"/>
            </w:tcBorders>
            <w:tcMar>
              <w:top w:w="100" w:type="dxa"/>
              <w:left w:w="100" w:type="dxa"/>
              <w:bottom w:w="100" w:type="dxa"/>
              <w:right w:w="100" w:type="dxa"/>
            </w:tcMar>
          </w:tcPr>
          <w:p w:rsidR="00FA60D5" w:rsidRDefault="00B26DB1" w14:paraId="0B715B5B" w14:textId="77777777">
            <w:pPr>
              <w:widowControl w:val="0"/>
              <w:spacing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tc>
      </w:tr>
    </w:tbl>
    <w:p w:rsidR="00FA60D5" w:rsidRDefault="00B26DB1" w14:paraId="6E63C1E7" w14:textId="77777777">
      <w:pPr>
        <w:widowControl w:val="0"/>
        <w:spacing w:line="360" w:lineRule="auto"/>
      </w:pPr>
      <w:r w:rsidRPr="30383331" w:rsidR="00B26DB1">
        <w:rPr>
          <w:rFonts w:ascii="Times New Roman" w:hAnsi="Times New Roman" w:eastAsia="Times New Roman" w:cs="Times New Roman"/>
          <w:sz w:val="24"/>
          <w:szCs w:val="24"/>
          <w:lang w:val="en-US"/>
        </w:rPr>
        <w:t xml:space="preserve"> Fig. 1: KWL chart: What we know, like to know, learned, and our sources. </w:t>
      </w:r>
      <w:r w:rsidRPr="30383331" w:rsidR="00B26DB1">
        <w:rPr>
          <w:lang w:val="en-US"/>
        </w:rPr>
        <w:t xml:space="preserve">     </w:t>
      </w:r>
    </w:p>
    <w:p w:rsidR="00FA60D5" w:rsidRDefault="00FA60D5" w14:paraId="0412B73A" w14:textId="77777777">
      <w:pPr>
        <w:widowControl w:val="0"/>
        <w:spacing w:line="360" w:lineRule="auto"/>
        <w:rPr>
          <w:rFonts w:ascii="Times New Roman" w:hAnsi="Times New Roman" w:eastAsia="Times New Roman" w:cs="Times New Roman"/>
          <w:sz w:val="24"/>
          <w:szCs w:val="24"/>
        </w:rPr>
      </w:pPr>
    </w:p>
    <w:p w:rsidR="00FA60D5" w:rsidP="30383331" w:rsidRDefault="00B26DB1" w14:paraId="5D0BECBB" w14:textId="77777777">
      <w:pPr>
        <w:widowControl w:val="0"/>
        <w:spacing w:line="360" w:lineRule="auto"/>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lang w:val="en-US"/>
        </w:rPr>
        <w:t xml:space="preserve">As the next step, students get together in groups and debrief what their findings were. Sample reflection questions include, </w:t>
      </w:r>
      <w:r w:rsidRPr="30383331" w:rsidR="00B26DB1">
        <w:rPr>
          <w:rFonts w:ascii="Times New Roman" w:hAnsi="Times New Roman" w:eastAsia="Times New Roman" w:cs="Times New Roman"/>
          <w:sz w:val="24"/>
          <w:szCs w:val="24"/>
          <w:highlight w:val="white"/>
          <w:lang w:val="en-US"/>
        </w:rPr>
        <w:t>‘What did other people know that you did not know and vice versa?’, and ‘How will you go about learning what you need to know?’</w:t>
      </w:r>
    </w:p>
    <w:p w:rsidR="00FA60D5" w:rsidP="30383331" w:rsidRDefault="00B26DB1" w14:paraId="2D85B8C5" w14:textId="77777777">
      <w:pPr>
        <w:widowControl w:val="0"/>
        <w:spacing w:line="360" w:lineRule="auto"/>
        <w:ind w:firstLine="720"/>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This step aligns with the aims of IH as students reflect on their own knowledge and that of others. It is important that students are encouraged to compare and reflect on their knowledge in a cooperative rather than competitive way , as it could otherwise have a negative effect on their development of IH. The goal is to ask students to be genuinely curious about the combined</w:t>
      </w:r>
      <w:r w:rsidRPr="30383331" w:rsidR="00B26DB1">
        <w:rPr>
          <w:lang w:val="en-US"/>
        </w:rPr>
        <w:t xml:space="preserve">  </w:t>
      </w:r>
      <w:r w:rsidRPr="30383331" w:rsidR="00B26DB1">
        <w:rPr>
          <w:rFonts w:ascii="Times New Roman" w:hAnsi="Times New Roman" w:eastAsia="Times New Roman" w:cs="Times New Roman"/>
          <w:sz w:val="24"/>
          <w:szCs w:val="24"/>
          <w:highlight w:val="white"/>
          <w:lang w:val="en-US"/>
        </w:rPr>
        <w:t>knowledge that exists within the group, and</w:t>
      </w:r>
      <w:r w:rsidRPr="30383331" w:rsidR="00B26DB1">
        <w:rPr>
          <w:lang w:val="en-US"/>
        </w:rPr>
        <w:t xml:space="preserve">  </w:t>
      </w:r>
      <w:r w:rsidRPr="30383331" w:rsidR="00B26DB1">
        <w:rPr>
          <w:rFonts w:ascii="Times New Roman" w:hAnsi="Times New Roman" w:eastAsia="Times New Roman" w:cs="Times New Roman"/>
          <w:sz w:val="24"/>
          <w:szCs w:val="24"/>
          <w:highlight w:val="white"/>
          <w:lang w:val="en-US"/>
        </w:rPr>
        <w:t xml:space="preserve">to ask about the origins of that knowledge. This might lead to the acknowledgment that sometimes what was considered factual information </w:t>
      </w:r>
      <w:r w:rsidRPr="30383331" w:rsidR="00B26DB1">
        <w:rPr>
          <w:rFonts w:ascii="Times New Roman" w:hAnsi="Times New Roman" w:eastAsia="Times New Roman" w:cs="Times New Roman"/>
          <w:sz w:val="24"/>
          <w:szCs w:val="24"/>
          <w:highlight w:val="white"/>
          <w:lang w:val="en-US"/>
        </w:rPr>
        <w:t>could not be backed up by evidence, and thereby create another opportunity for convictions to come to light.</w:t>
      </w:r>
    </w:p>
    <w:p w:rsidR="00FA60D5" w:rsidRDefault="00FA60D5" w14:paraId="7E0E3A8D" w14:textId="77777777">
      <w:pPr>
        <w:widowControl w:val="0"/>
        <w:spacing w:line="360" w:lineRule="auto"/>
        <w:rPr>
          <w:rFonts w:ascii="Times New Roman" w:hAnsi="Times New Roman" w:eastAsia="Times New Roman" w:cs="Times New Roman"/>
          <w:sz w:val="24"/>
          <w:szCs w:val="24"/>
          <w:highlight w:val="white"/>
        </w:rPr>
      </w:pPr>
    </w:p>
    <w:p w:rsidR="00FA60D5" w:rsidRDefault="00B26DB1" w14:paraId="02E91D07" w14:textId="77777777">
      <w:pPr>
        <w:shd w:val="clear" w:color="auto" w:fill="FFFFFF"/>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Reflection question:</w:t>
      </w:r>
    </w:p>
    <w:p w:rsidR="00FA60D5" w:rsidRDefault="00B26DB1" w14:paraId="440B34F0" w14:textId="77777777">
      <w:pPr>
        <w:shd w:val="clear" w:color="auto" w:fill="FFFFFF"/>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Which are the three things you found most surprising/interesting? </w:t>
      </w:r>
    </w:p>
    <w:p w:rsidR="00FA60D5" w:rsidRDefault="00B26DB1" w14:paraId="7CFAB926" w14:textId="77777777">
      <w:pPr>
        <w:shd w:val="clear" w:color="auto" w:fill="FFFFFF"/>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Can you explain why you were surprised? What caused the surprise/interest?</w:t>
      </w:r>
    </w:p>
    <w:p w:rsidR="00FA60D5" w:rsidRDefault="00B26DB1" w14:paraId="399DCF1B" w14:textId="77777777">
      <w:pPr>
        <w:shd w:val="clear" w:color="auto" w:fill="FFFFFF"/>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Did this raise questions for you about your own existing ideas?</w:t>
      </w:r>
    </w:p>
    <w:p w:rsidR="00FA60D5" w:rsidRDefault="00B26DB1" w14:paraId="761F12A6" w14:textId="77777777">
      <w:pPr>
        <w:shd w:val="clear" w:color="auto" w:fill="FFFFFF"/>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Did learning more about the topic from others help your understanding?</w:t>
      </w:r>
    </w:p>
    <w:p w:rsidR="00FA60D5" w:rsidP="30383331" w:rsidRDefault="00B26DB1" w14:paraId="211B7453" w14:textId="77777777">
      <w:pPr>
        <w:shd w:val="clear" w:color="auto" w:fill="FFFFFF" w:themeFill="background1"/>
        <w:spacing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Are there </w:t>
      </w:r>
      <w:r w:rsidRPr="30383331" w:rsidR="00B26DB1">
        <w:rPr>
          <w:rFonts w:ascii="Times New Roman" w:hAnsi="Times New Roman" w:eastAsia="Times New Roman" w:cs="Times New Roman"/>
          <w:sz w:val="24"/>
          <w:szCs w:val="24"/>
          <w:lang w:val="en-US"/>
        </w:rPr>
        <w:t>findings</w:t>
      </w:r>
      <w:r w:rsidRPr="30383331" w:rsidR="00B26DB1">
        <w:rPr>
          <w:rFonts w:ascii="Times New Roman" w:hAnsi="Times New Roman" w:eastAsia="Times New Roman" w:cs="Times New Roman"/>
          <w:sz w:val="24"/>
          <w:szCs w:val="24"/>
          <w:lang w:val="en-US"/>
        </w:rPr>
        <w:t xml:space="preserve"> about which you would like to learn </w:t>
      </w:r>
      <w:r w:rsidRPr="30383331" w:rsidR="00B26DB1">
        <w:rPr>
          <w:rFonts w:ascii="Times New Roman" w:hAnsi="Times New Roman" w:eastAsia="Times New Roman" w:cs="Times New Roman"/>
          <w:sz w:val="24"/>
          <w:szCs w:val="24"/>
          <w:lang w:val="en-US"/>
        </w:rPr>
        <w:t>more</w:t>
      </w:r>
      <w:r w:rsidRPr="30383331" w:rsidR="00B26DB1">
        <w:rPr>
          <w:rFonts w:ascii="Times New Roman" w:hAnsi="Times New Roman" w:eastAsia="Times New Roman" w:cs="Times New Roman"/>
          <w:sz w:val="24"/>
          <w:szCs w:val="24"/>
          <w:lang w:val="en-US"/>
        </w:rPr>
        <w:t>?</w:t>
      </w:r>
    </w:p>
    <w:p w:rsidR="00FA60D5" w:rsidP="30383331" w:rsidRDefault="00B26DB1" w14:paraId="354A5E1C" w14:textId="77777777">
      <w:pPr>
        <w:shd w:val="clear" w:color="auto" w:fill="FFFFFF" w:themeFill="background1"/>
        <w:spacing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Which strategies will you use to learn information representing various different perspectives?</w:t>
      </w:r>
    </w:p>
    <w:p w:rsidR="00FA60D5" w:rsidRDefault="00FA60D5" w14:paraId="0109165E" w14:textId="77777777">
      <w:pPr>
        <w:widowControl w:val="0"/>
        <w:spacing w:line="360" w:lineRule="auto"/>
        <w:rPr>
          <w:rFonts w:ascii="Times New Roman" w:hAnsi="Times New Roman" w:eastAsia="Times New Roman" w:cs="Times New Roman"/>
          <w:sz w:val="24"/>
          <w:szCs w:val="24"/>
        </w:rPr>
      </w:pPr>
    </w:p>
    <w:tbl>
      <w:tblPr>
        <w:tblStyle w:val="aff3"/>
        <w:tblW w:w="8640" w:type="dxa"/>
        <w:tblInd w:w="8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8640"/>
      </w:tblGrid>
      <w:tr w:rsidR="00FA60D5" w:rsidTr="30383331" w14:paraId="5BB76693" w14:textId="77777777">
        <w:tc>
          <w:tcPr>
            <w:tcW w:w="8640" w:type="dxa"/>
            <w:shd w:val="clear" w:color="auto" w:fill="auto"/>
            <w:tcMar>
              <w:top w:w="100" w:type="dxa"/>
              <w:left w:w="100" w:type="dxa"/>
              <w:bottom w:w="100" w:type="dxa"/>
              <w:right w:w="100" w:type="dxa"/>
            </w:tcMar>
          </w:tcPr>
          <w:p w:rsidR="00FA60D5" w:rsidP="30383331" w:rsidRDefault="00B26DB1" w14:paraId="54ABBE7B"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Here we foster students’ curiosity and open-mindedness,</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an attitude that is a </w:t>
            </w:r>
            <w:r w:rsidRPr="30383331" w:rsidR="00B26DB1">
              <w:rPr>
                <w:rFonts w:ascii="Times New Roman" w:hAnsi="Times New Roman" w:eastAsia="Times New Roman" w:cs="Times New Roman"/>
                <w:sz w:val="24"/>
                <w:szCs w:val="24"/>
                <w:lang w:val="en-US"/>
              </w:rPr>
              <w:t>component</w:t>
            </w:r>
            <w:r w:rsidRPr="30383331" w:rsidR="00B26DB1">
              <w:rPr>
                <w:rFonts w:ascii="Times New Roman" w:hAnsi="Times New Roman" w:eastAsia="Times New Roman" w:cs="Times New Roman"/>
                <w:sz w:val="24"/>
                <w:szCs w:val="24"/>
                <w:lang w:val="en-US"/>
              </w:rPr>
              <w:t xml:space="preserve"> of Intercultural Competence and that</w:t>
            </w:r>
            <w:r w:rsidRPr="30383331" w:rsidR="00B26DB1">
              <w:rPr>
                <w:lang w:val="en-US"/>
              </w:rPr>
              <w:t xml:space="preserve"> </w:t>
            </w:r>
            <w:r w:rsidRPr="30383331" w:rsidR="00B26DB1">
              <w:rPr>
                <w:rFonts w:ascii="Times New Roman" w:hAnsi="Times New Roman" w:eastAsia="Times New Roman" w:cs="Times New Roman"/>
                <w:sz w:val="24"/>
                <w:szCs w:val="24"/>
                <w:lang w:val="en-US"/>
              </w:rPr>
              <w:t>is also related to IH (</w:t>
            </w:r>
            <w:r w:rsidRPr="30383331" w:rsidR="00B26DB1">
              <w:rPr>
                <w:rFonts w:ascii="Times New Roman" w:hAnsi="Times New Roman" w:eastAsia="Times New Roman" w:cs="Times New Roman"/>
                <w:sz w:val="24"/>
                <w:szCs w:val="24"/>
                <w:lang w:val="en-US"/>
              </w:rPr>
              <w:t>e.g.</w:t>
            </w:r>
            <w:r w:rsidRPr="30383331" w:rsidR="00B26DB1">
              <w:rPr>
                <w:rFonts w:ascii="Times New Roman" w:hAnsi="Times New Roman" w:eastAsia="Times New Roman" w:cs="Times New Roman"/>
                <w:sz w:val="24"/>
                <w:szCs w:val="24"/>
                <w:lang w:val="en-US"/>
              </w:rPr>
              <w:t xml:space="preserve"> Whitcomb et al., 2017).</w:t>
            </w:r>
          </w:p>
        </w:tc>
      </w:tr>
    </w:tbl>
    <w:p w:rsidR="00FA60D5" w:rsidRDefault="00FA60D5" w14:paraId="25E6FE4E" w14:textId="77777777">
      <w:pPr>
        <w:widowControl w:val="0"/>
        <w:spacing w:line="360" w:lineRule="auto"/>
        <w:rPr>
          <w:rFonts w:ascii="Times New Roman" w:hAnsi="Times New Roman" w:eastAsia="Times New Roman" w:cs="Times New Roman"/>
          <w:sz w:val="24"/>
          <w:szCs w:val="24"/>
        </w:rPr>
      </w:pPr>
    </w:p>
    <w:p w:rsidR="00FA60D5" w:rsidRDefault="00B26DB1" w14:paraId="29B6B534"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In anticipation of the next step, prior knowledge about the subtopics of Covid-19 is activated by raising the following questions: </w:t>
      </w:r>
    </w:p>
    <w:p w:rsidR="00FA60D5" w:rsidRDefault="00B26DB1" w14:paraId="61524E93" w14:textId="77777777">
      <w:pPr>
        <w:widowControl w:val="0"/>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Why do you think the pandemic spread the way it did?</w:t>
      </w:r>
    </w:p>
    <w:p w:rsidR="00FA60D5" w:rsidRDefault="00B26DB1" w14:paraId="2D9D5092" w14:textId="77777777">
      <w:pPr>
        <w:widowControl w:val="0"/>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Do you think any</w:t>
      </w:r>
      <w:r>
        <w:t xml:space="preserve"> </w:t>
      </w:r>
      <w:r>
        <w:rPr>
          <w:rFonts w:ascii="Times New Roman" w:hAnsi="Times New Roman" w:eastAsia="Times New Roman" w:cs="Times New Roman"/>
          <w:sz w:val="24"/>
          <w:szCs w:val="24"/>
        </w:rPr>
        <w:t xml:space="preserve">beliefs that people held were problematic? If so, which ones? Why? </w:t>
      </w:r>
    </w:p>
    <w:p w:rsidR="00FA60D5" w:rsidRDefault="00B26DB1" w14:paraId="0728AB7D"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p w:rsidR="00FA60D5" w:rsidP="30383331" w:rsidRDefault="00B26DB1" w14:paraId="3E478199"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b w:val="1"/>
          <w:bCs w:val="1"/>
          <w:sz w:val="24"/>
          <w:szCs w:val="24"/>
          <w:lang w:val="en-US"/>
        </w:rPr>
        <w:t>Step 2 )</w:t>
      </w:r>
      <w:r w:rsidRPr="30383331" w:rsidR="00B26DB1">
        <w:rPr>
          <w:rFonts w:ascii="Times New Roman" w:hAnsi="Times New Roman" w:eastAsia="Times New Roman" w:cs="Times New Roman"/>
          <w:i w:val="1"/>
          <w:iCs w:val="1"/>
          <w:sz w:val="24"/>
          <w:szCs w:val="24"/>
          <w:lang w:val="en-US"/>
        </w:rPr>
        <w:t xml:space="preserve"> </w:t>
      </w:r>
      <w:r w:rsidRPr="30383331" w:rsidR="00B26DB1">
        <w:rPr>
          <w:rFonts w:ascii="Times New Roman" w:hAnsi="Times New Roman" w:eastAsia="Times New Roman" w:cs="Times New Roman"/>
          <w:sz w:val="24"/>
          <w:szCs w:val="24"/>
          <w:lang w:val="en-US"/>
        </w:rPr>
        <w:t>Discovery about our partners’ community in order to know how to prepare i.e. what ‘their’ existing assumptions might be (IH)</w:t>
      </w:r>
    </w:p>
    <w:p w:rsidR="00FA60D5" w:rsidP="30383331" w:rsidRDefault="00B26DB1" w14:paraId="5843A458"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Our emphasis in this step on students comparing different perspectives and understanding how ‘their’ perspective differs from and is similar to ‘ours’ is one of the components of Intercultural Competence. </w:t>
      </w:r>
    </w:p>
    <w:p w:rsidR="00FA60D5" w:rsidRDefault="00FA60D5" w14:paraId="3604B509" w14:textId="77777777">
      <w:pPr>
        <w:widowControl w:val="0"/>
        <w:spacing w:line="360" w:lineRule="auto"/>
        <w:ind w:left="720"/>
        <w:rPr>
          <w:rFonts w:ascii="Times New Roman" w:hAnsi="Times New Roman" w:eastAsia="Times New Roman" w:cs="Times New Roman"/>
          <w:sz w:val="24"/>
          <w:szCs w:val="24"/>
        </w:rPr>
      </w:pPr>
    </w:p>
    <w:tbl>
      <w:tblPr>
        <w:tblStyle w:val="aff4"/>
        <w:tblW w:w="8640" w:type="dxa"/>
        <w:tblInd w:w="8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8640"/>
      </w:tblGrid>
      <w:tr w:rsidR="00FA60D5" w14:paraId="43942793" w14:textId="77777777">
        <w:tc>
          <w:tcPr>
            <w:tcW w:w="8640" w:type="dxa"/>
            <w:shd w:val="clear" w:color="auto" w:fill="auto"/>
            <w:tcMar>
              <w:top w:w="100" w:type="dxa"/>
              <w:left w:w="100" w:type="dxa"/>
              <w:bottom w:w="100" w:type="dxa"/>
              <w:right w:w="100" w:type="dxa"/>
            </w:tcMar>
          </w:tcPr>
          <w:p w:rsidR="00FA60D5" w:rsidRDefault="00B26DB1" w14:paraId="6DA1F7C7"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Intercultural competence</w:t>
            </w:r>
          </w:p>
          <w:p w:rsidR="00FA60D5" w:rsidRDefault="00B26DB1" w14:paraId="79AB8181"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interpreting and relating: the ability to interpret a document or event from another culture, to explain it and relate it to documents from one’s own.</w:t>
            </w:r>
          </w:p>
        </w:tc>
      </w:tr>
    </w:tbl>
    <w:p w:rsidR="00FA60D5" w:rsidRDefault="00FA60D5" w14:paraId="25BF1A08" w14:textId="77777777">
      <w:pPr>
        <w:widowControl w:val="0"/>
        <w:spacing w:line="360" w:lineRule="auto"/>
        <w:ind w:left="720"/>
        <w:rPr>
          <w:rFonts w:ascii="Times New Roman" w:hAnsi="Times New Roman" w:eastAsia="Times New Roman" w:cs="Times New Roman"/>
          <w:sz w:val="24"/>
          <w:szCs w:val="24"/>
        </w:rPr>
      </w:pPr>
    </w:p>
    <w:p w:rsidR="00FA60D5" w:rsidRDefault="00B26DB1" w14:paraId="2F566067"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Group work</w:t>
      </w:r>
    </w:p>
    <w:p w:rsidR="00FA60D5" w:rsidP="30383331" w:rsidRDefault="00B26DB1" w14:paraId="1FBD0B70"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The main focus of the following activities is to interpret information from another context and relate it to one’s own. Students</w:t>
      </w:r>
      <w:r w:rsidRPr="30383331" w:rsidR="00B26DB1">
        <w:rPr>
          <w:lang w:val="en-US"/>
        </w:rPr>
        <w:t xml:space="preserve"> </w:t>
      </w:r>
      <w:r w:rsidRPr="30383331" w:rsidR="00B26DB1">
        <w:rPr>
          <w:rFonts w:ascii="Times New Roman" w:hAnsi="Times New Roman" w:eastAsia="Times New Roman" w:cs="Times New Roman"/>
          <w:sz w:val="24"/>
          <w:szCs w:val="24"/>
          <w:lang w:val="en-US"/>
        </w:rPr>
        <w:t>thereby evaluate information,</w:t>
      </w:r>
      <w:r w:rsidRPr="30383331" w:rsidR="00B26DB1">
        <w:rPr>
          <w:lang w:val="en-US"/>
        </w:rPr>
        <w:t xml:space="preserve"> </w:t>
      </w:r>
      <w:r w:rsidRPr="30383331" w:rsidR="00B26DB1">
        <w:rPr>
          <w:rFonts w:ascii="Times New Roman" w:hAnsi="Times New Roman" w:eastAsia="Times New Roman" w:cs="Times New Roman"/>
          <w:sz w:val="24"/>
          <w:szCs w:val="24"/>
          <w:lang w:val="en-US"/>
        </w:rPr>
        <w:t>gain knowledge and discover</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their assumptions. The webpage </w:t>
      </w:r>
      <w:hyperlink r:id="Rad8e6143d5c44dc7">
        <w:r w:rsidRPr="30383331" w:rsidR="00B26DB1">
          <w:rPr>
            <w:rFonts w:ascii="Times New Roman" w:hAnsi="Times New Roman" w:eastAsia="Times New Roman" w:cs="Times New Roman"/>
            <w:color w:val="0000FF"/>
            <w:sz w:val="24"/>
            <w:szCs w:val="24"/>
            <w:u w:val="single"/>
            <w:lang w:val="en-US"/>
          </w:rPr>
          <w:t>https://www.ed.gov/coronavirus</w:t>
        </w:r>
      </w:hyperlink>
      <w:r w:rsidRPr="30383331" w:rsidR="00B26DB1">
        <w:rPr>
          <w:rFonts w:ascii="Times New Roman" w:hAnsi="Times New Roman" w:eastAsia="Times New Roman" w:cs="Times New Roman"/>
          <w:color w:val="1155CC"/>
          <w:sz w:val="24"/>
          <w:szCs w:val="24"/>
          <w:u w:val="single"/>
          <w:lang w:val="en-US"/>
        </w:rPr>
        <w:t xml:space="preserve">. </w:t>
      </w:r>
      <w:r w:rsidRPr="30383331" w:rsidR="00B26DB1">
        <w:rPr>
          <w:rFonts w:ascii="Times New Roman" w:hAnsi="Times New Roman" w:eastAsia="Times New Roman" w:cs="Times New Roman"/>
          <w:sz w:val="24"/>
          <w:szCs w:val="24"/>
          <w:lang w:val="en-US"/>
        </w:rPr>
        <w:t xml:space="preserve"> is an informational website by the US government. Similar websites are likely to be available in the partners’ contexts. </w:t>
      </w:r>
    </w:p>
    <w:p w:rsidR="00FA60D5" w:rsidRDefault="00B26DB1" w14:paraId="326C8E1F" w14:textId="77777777">
      <w:pPr>
        <w:widowControl w:val="0"/>
        <w:spacing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This is related to IH through students discovering their own limitations.</w:t>
      </w:r>
    </w:p>
    <w:p w:rsidR="00FA60D5" w:rsidRDefault="00B26DB1" w14:paraId="09950B37" w14:textId="77777777">
      <w:pPr>
        <w:widowControl w:val="0"/>
        <w:spacing w:line="360" w:lineRule="auto"/>
        <w:rPr>
          <w:rFonts w:ascii="Times New Roman" w:hAnsi="Times New Roman" w:eastAsia="Times New Roman" w:cs="Times New Roman"/>
          <w:sz w:val="24"/>
          <w:szCs w:val="24"/>
        </w:rPr>
      </w:pPr>
      <w:r>
        <w:t xml:space="preserve">     </w:t>
      </w:r>
    </w:p>
    <w:p w:rsidR="00FA60D5" w:rsidRDefault="00B26DB1" w14:paraId="35DBE930" w14:textId="77777777">
      <w:pPr>
        <w:widowControl w:val="0"/>
        <w:pBdr>
          <w:top w:val="single" w:color="000000" w:sz="4" w:space="1"/>
          <w:left w:val="single" w:color="000000" w:sz="4" w:space="4"/>
          <w:bottom w:val="single" w:color="000000" w:sz="4" w:space="1"/>
          <w:right w:val="single" w:color="000000" w:sz="4" w:space="4"/>
        </w:pBdr>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IH prediction: </w:t>
      </w:r>
    </w:p>
    <w:p w:rsidR="00FA60D5" w:rsidP="30383331" w:rsidRDefault="00B26DB1" w14:paraId="508DB6B8" w14:textId="77777777">
      <w:pPr>
        <w:widowControl w:val="0"/>
        <w:pBdr>
          <w:top w:val="single" w:color="000000" w:sz="4" w:space="1"/>
          <w:left w:val="single" w:color="000000" w:sz="4" w:space="4"/>
          <w:bottom w:val="single" w:color="000000" w:sz="4" w:space="1"/>
          <w:right w:val="single" w:color="000000" w:sz="4" w:space="4"/>
        </w:pBd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IH increases a person’s propensity to defer to others who don’t have their intellectual limitations, in situations that call upon those limitations.</w:t>
      </w:r>
    </w:p>
    <w:p w:rsidR="00FA60D5" w:rsidRDefault="00B26DB1" w14:paraId="67A79A57"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p w:rsidR="00FA60D5" w:rsidP="30383331" w:rsidRDefault="00B26DB1" w14:paraId="23D8F238"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Activities that can support IH in group work include the following. Individually, students create a mind map reflecting on which sub-topics are important to solve their problem/prepare for their presentation. In small groups, they discuss their mind map with their colleagues in their group. Together, they decide which topics their mind maps have in common, and add comments to each sub-topic. Now they share with each other which topics they feel they have knowledge of. Then they identify who can help with which topic and which topics still need to be covered. Together they make a plan for how to best use everyone’s strengths to solve the problem/complete the task.</w:t>
      </w:r>
    </w:p>
    <w:p w:rsidR="00FA60D5" w:rsidRDefault="00FA60D5" w14:paraId="54D1166C" w14:textId="77777777">
      <w:pPr>
        <w:widowControl w:val="0"/>
        <w:spacing w:line="360" w:lineRule="auto"/>
        <w:rPr>
          <w:rFonts w:ascii="Times New Roman" w:hAnsi="Times New Roman" w:eastAsia="Times New Roman" w:cs="Times New Roman"/>
          <w:sz w:val="24"/>
          <w:szCs w:val="24"/>
        </w:rPr>
      </w:pPr>
    </w:p>
    <w:p w:rsidR="00FA60D5" w:rsidRDefault="00B26DB1" w14:paraId="74562365"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Whole group:</w:t>
      </w:r>
    </w:p>
    <w:p w:rsidR="00FA60D5" w:rsidP="30383331" w:rsidRDefault="00B26DB1" w14:paraId="2798C4B1"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In the whole group or ‘plenary’, (when the problem is “solved”/the presentation is prepared/the task is completed) students are asked to share their reflections during the group work using such questions as:</w:t>
      </w:r>
    </w:p>
    <w:p w:rsidR="00FA60D5" w:rsidP="30383331" w:rsidRDefault="00B26DB1" w14:paraId="2ABE7C77" w14:textId="77777777">
      <w:pPr>
        <w:widowControl w:val="0"/>
        <w:spacing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What was helpful about identifying what you know about the topic?</w:t>
      </w:r>
    </w:p>
    <w:p w:rsidR="00FA60D5" w:rsidRDefault="00B26DB1" w14:paraId="68B9A39D" w14:textId="77777777">
      <w:pPr>
        <w:widowControl w:val="0"/>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Did you learn more about what you know and what you still need to find out? How?</w:t>
      </w:r>
    </w:p>
    <w:p w:rsidR="00FA60D5" w:rsidP="30383331" w:rsidRDefault="00B26DB1" w14:paraId="34C6BBB1" w14:textId="77777777">
      <w:pPr>
        <w:widowControl w:val="0"/>
        <w:spacing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How was it helpful to work in your team?</w:t>
      </w:r>
    </w:p>
    <w:p w:rsidR="00FA60D5" w:rsidRDefault="00B26DB1" w14:paraId="471B403B" w14:textId="77777777">
      <w:pPr>
        <w:widowControl w:val="0"/>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Did you learn from your team?</w:t>
      </w:r>
    </w:p>
    <w:p w:rsidR="00FA60D5" w:rsidRDefault="00FA60D5" w14:paraId="7B7BE37C" w14:textId="77777777">
      <w:pPr>
        <w:widowControl w:val="0"/>
        <w:spacing w:line="360" w:lineRule="auto"/>
        <w:rPr>
          <w:rFonts w:ascii="Times New Roman" w:hAnsi="Times New Roman" w:eastAsia="Times New Roman" w:cs="Times New Roman"/>
          <w:sz w:val="24"/>
          <w:szCs w:val="24"/>
        </w:rPr>
      </w:pPr>
    </w:p>
    <w:p w:rsidR="00FA60D5" w:rsidRDefault="00B26DB1" w14:paraId="5AD2F3E5" w14:textId="77777777">
      <w:pPr>
        <w:widowControl w:val="0"/>
        <w:spacing w:line="36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Pr>
        <w:t>Comparing, contrasting, and critically reflecting on the two communities</w:t>
      </w:r>
    </w:p>
    <w:p w:rsidR="00FA60D5" w:rsidP="30383331" w:rsidRDefault="00B26DB1" w14:paraId="69E38F1A"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b w:val="1"/>
          <w:bCs w:val="1"/>
          <w:sz w:val="24"/>
          <w:szCs w:val="24"/>
          <w:lang w:val="en-US"/>
        </w:rPr>
        <w:t xml:space="preserve">Step 3: </w:t>
      </w:r>
      <w:r w:rsidRPr="30383331" w:rsidR="00B26DB1">
        <w:rPr>
          <w:rFonts w:ascii="Times New Roman" w:hAnsi="Times New Roman" w:eastAsia="Times New Roman" w:cs="Times New Roman"/>
          <w:sz w:val="24"/>
          <w:szCs w:val="24"/>
          <w:lang w:val="en-US"/>
        </w:rPr>
        <w:t>Presentation of ‘our community’ to them and discuss similarities and differences (ICit)</w:t>
      </w:r>
    </w:p>
    <w:p w:rsidR="00FA60D5" w:rsidRDefault="00FA60D5" w14:paraId="59F5BC66" w14:textId="77777777">
      <w:pPr>
        <w:widowControl w:val="0"/>
        <w:spacing w:line="360" w:lineRule="auto"/>
        <w:ind w:left="720"/>
        <w:rPr>
          <w:rFonts w:ascii="Times New Roman" w:hAnsi="Times New Roman" w:eastAsia="Times New Roman" w:cs="Times New Roman"/>
          <w:sz w:val="24"/>
          <w:szCs w:val="24"/>
        </w:rPr>
      </w:pPr>
    </w:p>
    <w:p w:rsidR="00FA60D5" w:rsidRDefault="00B26DB1" w14:paraId="43497ABC" w14:textId="77777777">
      <w:pPr>
        <w:widowControl w:val="0"/>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In this step the purpose is to develop in students the element of Intercultural Competence referred to as ‘discovering and interacting:</w:t>
      </w:r>
    </w:p>
    <w:p w:rsidR="00FA60D5" w:rsidRDefault="00FA60D5" w14:paraId="74F6446D" w14:textId="77777777">
      <w:pPr>
        <w:widowControl w:val="0"/>
        <w:spacing w:line="360" w:lineRule="auto"/>
        <w:ind w:left="720"/>
        <w:rPr>
          <w:rFonts w:ascii="Times New Roman" w:hAnsi="Times New Roman" w:eastAsia="Times New Roman" w:cs="Times New Roman"/>
          <w:sz w:val="24"/>
          <w:szCs w:val="24"/>
        </w:rPr>
      </w:pPr>
    </w:p>
    <w:tbl>
      <w:tblPr>
        <w:tblStyle w:val="aff5"/>
        <w:tblW w:w="8640" w:type="dxa"/>
        <w:tblInd w:w="8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8640"/>
      </w:tblGrid>
      <w:tr w:rsidR="00FA60D5" w:rsidTr="30383331" w14:paraId="794DC6D3" w14:textId="77777777">
        <w:tc>
          <w:tcPr>
            <w:tcW w:w="8640" w:type="dxa"/>
            <w:shd w:val="clear" w:color="auto" w:fill="auto"/>
            <w:tcMar>
              <w:top w:w="100" w:type="dxa"/>
              <w:left w:w="100" w:type="dxa"/>
              <w:bottom w:w="100" w:type="dxa"/>
              <w:right w:w="100" w:type="dxa"/>
            </w:tcMar>
          </w:tcPr>
          <w:p w:rsidR="00FA60D5" w:rsidRDefault="00B26DB1" w14:paraId="26AC0A67"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Intercultural Competence</w:t>
            </w:r>
          </w:p>
          <w:p w:rsidR="00FA60D5" w:rsidP="30383331" w:rsidRDefault="00B26DB1" w14:paraId="3117CE30"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Discovery and interaction: ability to acquire new knowledge of cultural practices and the ability to operate knowledge, attitudes and skills under the constraints of real-time communication and interaction.</w:t>
            </w:r>
          </w:p>
        </w:tc>
      </w:tr>
    </w:tbl>
    <w:p w:rsidR="00FA60D5" w:rsidRDefault="00FA60D5" w14:paraId="37D1801E" w14:textId="77777777">
      <w:pPr>
        <w:widowControl w:val="0"/>
        <w:spacing w:line="360" w:lineRule="auto"/>
        <w:ind w:left="720"/>
        <w:rPr>
          <w:rFonts w:ascii="Times New Roman" w:hAnsi="Times New Roman" w:eastAsia="Times New Roman" w:cs="Times New Roman"/>
          <w:sz w:val="24"/>
          <w:szCs w:val="24"/>
        </w:rPr>
      </w:pPr>
    </w:p>
    <w:p w:rsidR="00FA60D5" w:rsidP="30383331" w:rsidRDefault="00B26DB1" w14:paraId="7B2CD54A"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Students from context A do a presentation of ‘our community and Covid-19’ to the students from context B (whether in another country or in the same country). This can be rehearsed in class first and then presented</w:t>
      </w:r>
      <w:r w:rsidRPr="30383331" w:rsidR="00B26DB1">
        <w:rPr>
          <w:lang w:val="en-US"/>
        </w:rPr>
        <w:t xml:space="preserve"> </w:t>
      </w:r>
      <w:r w:rsidRPr="30383331" w:rsidR="00B26DB1">
        <w:rPr>
          <w:rFonts w:ascii="Times New Roman" w:hAnsi="Times New Roman" w:eastAsia="Times New Roman" w:cs="Times New Roman"/>
          <w:sz w:val="24"/>
          <w:szCs w:val="24"/>
          <w:lang w:val="en-US"/>
        </w:rPr>
        <w:t>to partners. Students then</w:t>
      </w:r>
      <w:r w:rsidRPr="30383331" w:rsidR="00B26DB1">
        <w:rPr>
          <w:lang w:val="en-US"/>
        </w:rPr>
        <w:t xml:space="preserve"> </w:t>
      </w:r>
      <w:r w:rsidRPr="30383331" w:rsidR="00B26DB1">
        <w:rPr>
          <w:rFonts w:ascii="Times New Roman" w:hAnsi="Times New Roman" w:eastAsia="Times New Roman" w:cs="Times New Roman"/>
          <w:sz w:val="24"/>
          <w:szCs w:val="24"/>
          <w:lang w:val="en-US"/>
        </w:rPr>
        <w:t>compare the information in the different contexts. What were the similarities? What were the differences? What are some reasons for the differences? The goal is for students in both groups to continue the critical analysis of their own context begun in Step1 but now enhanced by familiarity with the perspective of their partners.</w:t>
      </w:r>
    </w:p>
    <w:p w:rsidR="00FA60D5" w:rsidRDefault="00FA60D5" w14:paraId="01FF6249" w14:textId="77777777">
      <w:pPr>
        <w:widowControl w:val="0"/>
        <w:spacing w:line="360" w:lineRule="auto"/>
        <w:rPr>
          <w:rFonts w:ascii="Times New Roman" w:hAnsi="Times New Roman" w:eastAsia="Times New Roman" w:cs="Times New Roman"/>
          <w:sz w:val="24"/>
          <w:szCs w:val="24"/>
        </w:rPr>
      </w:pPr>
    </w:p>
    <w:p w:rsidR="00FA60D5" w:rsidRDefault="00B26DB1" w14:paraId="3D6A3B4C" w14:textId="77777777">
      <w:pPr>
        <w:widowControl w:val="0"/>
        <w:spacing w:line="360" w:lineRule="auto"/>
        <w:rPr>
          <w:rFonts w:ascii="Times New Roman" w:hAnsi="Times New Roman" w:eastAsia="Times New Roman" w:cs="Times New Roman"/>
          <w:i/>
          <w:sz w:val="24"/>
          <w:szCs w:val="24"/>
        </w:rPr>
      </w:pPr>
      <w:r>
        <w:t xml:space="preserve">               </w:t>
      </w:r>
      <w:r>
        <w:rPr>
          <w:rFonts w:ascii="Times New Roman" w:hAnsi="Times New Roman" w:eastAsia="Times New Roman" w:cs="Times New Roman"/>
          <w:sz w:val="24"/>
          <w:szCs w:val="24"/>
        </w:rPr>
        <w:t>The next step is for students to investigate further what has been said in their own context before discussing this with their partners in the other context.</w:t>
      </w:r>
    </w:p>
    <w:p w:rsidR="00FA60D5" w:rsidP="30383331" w:rsidRDefault="00B26DB1" w14:paraId="2F71B5F8" w14:textId="77777777">
      <w:pPr>
        <w:widowControl w:val="0"/>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As independent work, students read information about how misinformation was spread related to Covid-19. They also read about protests against and for Covid-19 measures in their contexts. They think about the consequences. </w:t>
      </w:r>
    </w:p>
    <w:p w:rsidR="00FA60D5" w:rsidRDefault="00B26DB1" w14:paraId="385EB007"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Students</w:t>
      </w:r>
      <w:r>
        <w:t xml:space="preserve"> </w:t>
      </w:r>
      <w:r>
        <w:rPr>
          <w:rFonts w:ascii="Times New Roman" w:hAnsi="Times New Roman" w:eastAsia="Times New Roman" w:cs="Times New Roman"/>
          <w:sz w:val="24"/>
          <w:szCs w:val="24"/>
        </w:rPr>
        <w:t>read a variety of articles. Below are some sample articles.</w:t>
      </w:r>
    </w:p>
    <w:p w:rsidR="00FA60D5" w:rsidRDefault="00B26DB1" w14:paraId="2393DA94" w14:textId="77777777">
      <w:pPr>
        <w:widowControl w:val="0"/>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Fighting the spread of Covid-19 misinformation</w:t>
      </w:r>
    </w:p>
    <w:p w:rsidR="00FA60D5" w:rsidRDefault="001A20D1" w14:paraId="7A353807" w14:textId="77777777">
      <w:pPr>
        <w:widowControl w:val="0"/>
        <w:spacing w:line="360" w:lineRule="auto"/>
        <w:ind w:left="720"/>
        <w:rPr>
          <w:rFonts w:ascii="Times New Roman" w:hAnsi="Times New Roman" w:eastAsia="Times New Roman" w:cs="Times New Roman"/>
          <w:sz w:val="24"/>
          <w:szCs w:val="24"/>
        </w:rPr>
      </w:pPr>
      <w:hyperlink r:id="rId11">
        <w:r w:rsidR="00B26DB1">
          <w:rPr>
            <w:rFonts w:ascii="Times New Roman" w:hAnsi="Times New Roman" w:eastAsia="Times New Roman" w:cs="Times New Roman"/>
            <w:color w:val="1155CC"/>
            <w:sz w:val="24"/>
            <w:szCs w:val="24"/>
            <w:u w:val="single"/>
          </w:rPr>
          <w:t>https://www.hsph.harvard.edu/news/features/fighting-the-spread-of-covid-19-misinformation/</w:t>
        </w:r>
      </w:hyperlink>
    </w:p>
    <w:p w:rsidR="00FA60D5" w:rsidRDefault="00FA60D5" w14:paraId="66B363B2" w14:textId="77777777">
      <w:pPr>
        <w:spacing w:line="360" w:lineRule="auto"/>
        <w:ind w:left="720"/>
        <w:rPr>
          <w:rFonts w:ascii="Times New Roman" w:hAnsi="Times New Roman" w:eastAsia="Times New Roman" w:cs="Times New Roman"/>
          <w:sz w:val="24"/>
          <w:szCs w:val="24"/>
        </w:rPr>
      </w:pPr>
    </w:p>
    <w:p w:rsidR="00FA60D5" w:rsidP="30383331" w:rsidRDefault="00B26DB1" w14:paraId="0B0486F3" w14:textId="77777777">
      <w:pPr>
        <w:spacing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Coronavirus: US </w:t>
      </w:r>
      <w:r w:rsidRPr="30383331" w:rsidR="00B26DB1">
        <w:rPr>
          <w:rFonts w:ascii="Times New Roman" w:hAnsi="Times New Roman" w:eastAsia="Times New Roman" w:cs="Times New Roman"/>
          <w:sz w:val="24"/>
          <w:szCs w:val="24"/>
          <w:lang w:val="en-US"/>
        </w:rPr>
        <w:t>protests against</w:t>
      </w:r>
      <w:r w:rsidRPr="30383331" w:rsidR="00B26DB1">
        <w:rPr>
          <w:rFonts w:ascii="Times New Roman" w:hAnsi="Times New Roman" w:eastAsia="Times New Roman" w:cs="Times New Roman"/>
          <w:sz w:val="24"/>
          <w:szCs w:val="24"/>
          <w:lang w:val="en-US"/>
        </w:rPr>
        <w:t xml:space="preserve"> and for lockdown restrictions</w:t>
      </w:r>
    </w:p>
    <w:p w:rsidR="00FA60D5" w:rsidRDefault="001A20D1" w14:paraId="47B9BF3D" w14:textId="77777777">
      <w:pPr>
        <w:spacing w:line="360" w:lineRule="auto"/>
        <w:ind w:left="720"/>
        <w:rPr>
          <w:rFonts w:ascii="Times New Roman" w:hAnsi="Times New Roman" w:eastAsia="Times New Roman" w:cs="Times New Roman"/>
          <w:sz w:val="24"/>
          <w:szCs w:val="24"/>
        </w:rPr>
      </w:pPr>
      <w:hyperlink r:id="rId12">
        <w:r w:rsidR="00B26DB1">
          <w:rPr>
            <w:rFonts w:ascii="Times New Roman" w:hAnsi="Times New Roman" w:eastAsia="Times New Roman" w:cs="Times New Roman"/>
            <w:color w:val="1155CC"/>
            <w:sz w:val="24"/>
            <w:szCs w:val="24"/>
            <w:u w:val="single"/>
          </w:rPr>
          <w:t>https://www.bbc.com/news/av/world-us-canada-52344540</w:t>
        </w:r>
      </w:hyperlink>
    </w:p>
    <w:p w:rsidR="00FA60D5" w:rsidRDefault="00FA60D5" w14:paraId="3BEA7262" w14:textId="77777777">
      <w:pPr>
        <w:spacing w:line="360" w:lineRule="auto"/>
        <w:ind w:left="720"/>
        <w:rPr>
          <w:rFonts w:ascii="Times New Roman" w:hAnsi="Times New Roman" w:eastAsia="Times New Roman" w:cs="Times New Roman"/>
          <w:sz w:val="24"/>
          <w:szCs w:val="24"/>
        </w:rPr>
      </w:pPr>
    </w:p>
    <w:p w:rsidR="00FA60D5" w:rsidRDefault="00B26DB1" w14:paraId="2C32F0AB" w14:textId="77777777">
      <w:pPr>
        <w:pStyle w:val="Heading1"/>
        <w:keepNext w:val="0"/>
        <w:keepLines w:val="0"/>
        <w:shd w:val="clear" w:color="auto" w:fill="FFFFFF"/>
        <w:spacing w:before="0" w:after="0" w:line="360" w:lineRule="auto"/>
        <w:ind w:left="720"/>
        <w:rPr>
          <w:rFonts w:ascii="Times New Roman" w:hAnsi="Times New Roman" w:eastAsia="Times New Roman" w:cs="Times New Roman"/>
          <w:sz w:val="24"/>
          <w:szCs w:val="24"/>
        </w:rPr>
      </w:pPr>
      <w:bookmarkStart w:name="_heading=h.1fob9te" w:colFirst="0" w:colLast="0" w:id="0"/>
      <w:bookmarkEnd w:id="0"/>
      <w:r>
        <w:rPr>
          <w:rFonts w:ascii="Times New Roman" w:hAnsi="Times New Roman" w:eastAsia="Times New Roman" w:cs="Times New Roman"/>
          <w:sz w:val="24"/>
          <w:szCs w:val="24"/>
        </w:rPr>
        <w:t>Biden’s next fight: Anti-vaxxers jeopardize plans to protect U.S. against Covid</w:t>
      </w:r>
    </w:p>
    <w:p w:rsidR="00FA60D5" w:rsidRDefault="001A20D1" w14:paraId="3947AC82" w14:textId="77777777">
      <w:pPr>
        <w:spacing w:line="360" w:lineRule="auto"/>
        <w:ind w:left="720"/>
        <w:rPr>
          <w:rFonts w:ascii="Times New Roman" w:hAnsi="Times New Roman" w:eastAsia="Times New Roman" w:cs="Times New Roman"/>
          <w:sz w:val="24"/>
          <w:szCs w:val="24"/>
        </w:rPr>
      </w:pPr>
      <w:hyperlink r:id="rId13">
        <w:r w:rsidR="00B26DB1">
          <w:rPr>
            <w:rFonts w:ascii="Times New Roman" w:hAnsi="Times New Roman" w:eastAsia="Times New Roman" w:cs="Times New Roman"/>
            <w:color w:val="1155CC"/>
            <w:sz w:val="24"/>
            <w:szCs w:val="24"/>
            <w:u w:val="single"/>
          </w:rPr>
          <w:t>https://www.cnbc.com/2021/02/10/biden-covid-vaccine-anti-vaxxers-us.html</w:t>
        </w:r>
      </w:hyperlink>
    </w:p>
    <w:p w:rsidR="00FA60D5" w:rsidRDefault="00FA60D5" w14:paraId="0DB1CFA5" w14:textId="77777777">
      <w:pPr>
        <w:spacing w:line="360" w:lineRule="auto"/>
        <w:rPr>
          <w:rFonts w:ascii="Times New Roman" w:hAnsi="Times New Roman" w:eastAsia="Times New Roman" w:cs="Times New Roman"/>
          <w:sz w:val="24"/>
          <w:szCs w:val="24"/>
        </w:rPr>
      </w:pPr>
    </w:p>
    <w:p w:rsidR="00FA60D5" w:rsidP="30383331" w:rsidRDefault="00B26DB1" w14:paraId="7977AD4D"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Similar articles</w:t>
      </w:r>
      <w:r w:rsidRPr="30383331" w:rsidR="00B26DB1">
        <w:rPr>
          <w:rFonts w:ascii="Times New Roman" w:hAnsi="Times New Roman" w:eastAsia="Times New Roman" w:cs="Times New Roman"/>
          <w:sz w:val="24"/>
          <w:szCs w:val="24"/>
          <w:lang w:val="en-US"/>
        </w:rPr>
        <w:t xml:space="preserve"> will be available in the partners’ contexts for example:</w:t>
      </w:r>
    </w:p>
    <w:p w:rsidR="00FA60D5" w:rsidRDefault="00FA60D5" w14:paraId="7F40644C" w14:textId="77777777">
      <w:pPr>
        <w:spacing w:line="360" w:lineRule="auto"/>
        <w:rPr>
          <w:rFonts w:ascii="Times New Roman" w:hAnsi="Times New Roman" w:eastAsia="Times New Roman" w:cs="Times New Roman"/>
          <w:sz w:val="24"/>
          <w:szCs w:val="24"/>
        </w:rPr>
      </w:pPr>
    </w:p>
    <w:p w:rsidR="00FA60D5" w:rsidRDefault="00B26DB1" w14:paraId="6454A53A" w14:textId="77777777">
      <w:pPr>
        <w:spacing w:line="360" w:lineRule="auto"/>
        <w:ind w:left="720"/>
        <w:rPr>
          <w:rFonts w:ascii="Times New Roman" w:hAnsi="Times New Roman" w:eastAsia="Times New Roman" w:cs="Times New Roman"/>
          <w:i/>
          <w:sz w:val="24"/>
          <w:szCs w:val="24"/>
        </w:rPr>
      </w:pPr>
      <w:r>
        <w:rPr>
          <w:rFonts w:ascii="Times New Roman" w:hAnsi="Times New Roman" w:eastAsia="Times New Roman" w:cs="Times New Roman"/>
          <w:sz w:val="24"/>
          <w:szCs w:val="24"/>
        </w:rPr>
        <w:t xml:space="preserve">European governments face rising protests against COVID measures: </w:t>
      </w:r>
      <w:hyperlink r:id="rId14">
        <w:r>
          <w:rPr>
            <w:rFonts w:ascii="Times New Roman" w:hAnsi="Times New Roman" w:eastAsia="Times New Roman" w:cs="Times New Roman"/>
            <w:color w:val="1155CC"/>
            <w:sz w:val="24"/>
            <w:szCs w:val="24"/>
            <w:u w:val="single"/>
          </w:rPr>
          <w:t>https://www.youtube.com/watch?v=Kww6pM6jS58</w:t>
        </w:r>
      </w:hyperlink>
    </w:p>
    <w:p w:rsidR="00FA60D5" w:rsidRDefault="00FA60D5" w14:paraId="1E539862" w14:textId="77777777">
      <w:pPr>
        <w:widowControl w:val="0"/>
        <w:spacing w:line="360" w:lineRule="auto"/>
        <w:rPr>
          <w:rFonts w:ascii="Times New Roman" w:hAnsi="Times New Roman" w:eastAsia="Times New Roman" w:cs="Times New Roman"/>
          <w:i/>
          <w:sz w:val="24"/>
          <w:szCs w:val="24"/>
        </w:rPr>
      </w:pPr>
    </w:p>
    <w:p w:rsidR="00FA60D5" w:rsidRDefault="00B26DB1" w14:paraId="0809BA2D"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 xml:space="preserve">Students then write a summary of what they found and bring it to class. </w:t>
      </w:r>
    </w:p>
    <w:p w:rsidR="00FA60D5" w:rsidRDefault="00FA60D5" w14:paraId="78380A44" w14:textId="77777777">
      <w:pPr>
        <w:widowControl w:val="0"/>
        <w:spacing w:line="360" w:lineRule="auto"/>
        <w:rPr>
          <w:rFonts w:ascii="Times New Roman" w:hAnsi="Times New Roman" w:eastAsia="Times New Roman" w:cs="Times New Roman"/>
          <w:sz w:val="24"/>
          <w:szCs w:val="24"/>
        </w:rPr>
      </w:pPr>
    </w:p>
    <w:p w:rsidR="00FA60D5" w:rsidRDefault="00B26DB1" w14:paraId="18EEBC34"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b/>
          <w:sz w:val="24"/>
          <w:szCs w:val="24"/>
        </w:rPr>
        <w:t>Step 4:</w:t>
      </w:r>
      <w:r>
        <w:rPr>
          <w:rFonts w:ascii="Times New Roman" w:hAnsi="Times New Roman" w:eastAsia="Times New Roman" w:cs="Times New Roman"/>
          <w:sz w:val="24"/>
          <w:szCs w:val="24"/>
        </w:rPr>
        <w:t xml:space="preserve"> Joint critical examination (IH)</w:t>
      </w:r>
    </w:p>
    <w:p w:rsidR="00FA60D5" w:rsidRDefault="00FA60D5" w14:paraId="19B6E724" w14:textId="77777777">
      <w:pPr>
        <w:widowControl w:val="0"/>
        <w:spacing w:line="360" w:lineRule="auto"/>
        <w:rPr>
          <w:rFonts w:ascii="Times New Roman" w:hAnsi="Times New Roman" w:eastAsia="Times New Roman" w:cs="Times New Roman"/>
          <w:sz w:val="24"/>
          <w:szCs w:val="24"/>
        </w:rPr>
      </w:pPr>
    </w:p>
    <w:p w:rsidR="00FA60D5" w:rsidP="30383331" w:rsidRDefault="00B26DB1" w14:paraId="18CE1829"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In class, students have the task to consolidate and synthesize the information they have acquired</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 (e.g. for and against lockdown restrictions, for and against vaccines). They prepare a second presentation that they can share with their partners. This could be done in groups in a variety of ways, e.g. recorded debates, info-graphs, posters</w:t>
      </w:r>
      <w:r w:rsidRPr="30383331" w:rsidR="00B26DB1">
        <w:rPr>
          <w:lang w:val="en-US"/>
        </w:rPr>
        <w:t xml:space="preserve">     </w:t>
      </w:r>
      <w:r w:rsidRPr="30383331" w:rsidR="00B26DB1">
        <w:rPr>
          <w:rFonts w:ascii="Times New Roman" w:hAnsi="Times New Roman" w:eastAsia="Times New Roman" w:cs="Times New Roman"/>
          <w:sz w:val="24"/>
          <w:szCs w:val="24"/>
          <w:lang w:val="en-US"/>
        </w:rPr>
        <w:t>.</w:t>
      </w:r>
    </w:p>
    <w:p w:rsidR="00FA60D5" w:rsidRDefault="00FA60D5" w14:paraId="3581ACB2" w14:textId="77777777">
      <w:pPr>
        <w:spacing w:line="360" w:lineRule="auto"/>
        <w:rPr>
          <w:rFonts w:ascii="Times New Roman" w:hAnsi="Times New Roman" w:eastAsia="Times New Roman" w:cs="Times New Roman"/>
          <w:i/>
          <w:sz w:val="24"/>
          <w:szCs w:val="24"/>
        </w:rPr>
      </w:pPr>
    </w:p>
    <w:p w:rsidR="00FA60D5" w:rsidP="30383331" w:rsidRDefault="00B26DB1" w14:paraId="4ACAED4C" w14:textId="77777777">
      <w:pPr>
        <w:shd w:val="clear" w:color="auto" w:fill="FFFFFF" w:themeFill="background1"/>
        <w:spacing w:line="36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sz w:val="24"/>
          <w:szCs w:val="24"/>
          <w:lang w:val="en-US"/>
        </w:rPr>
        <w:t>Students then prepare 2-3 questions that they plan to ask their transnational partners to get more information about the topic in their partners’ context. The goal here is to stimulate curiosity as an element of Intercultural Competence and, as they encounter information which might not match their expectations and convictions, they begin to realize elements of Intellectual Humility</w:t>
      </w:r>
    </w:p>
    <w:p w:rsidR="00FA60D5" w:rsidRDefault="00B26DB1" w14:paraId="65FE6522" w14:textId="77777777">
      <w:pPr>
        <w:widowControl w:val="0"/>
        <w:pBdr>
          <w:top w:val="single" w:color="000000" w:sz="4" w:space="1"/>
          <w:left w:val="single" w:color="000000" w:sz="4" w:space="4"/>
          <w:bottom w:val="single" w:color="000000" w:sz="4" w:space="1"/>
          <w:right w:val="single" w:color="000000" w:sz="4" w:space="4"/>
        </w:pBdr>
        <w:spacing w:line="360" w:lineRule="auto"/>
        <w:ind w:left="720"/>
        <w:rPr>
          <w:rFonts w:ascii="Times New Roman" w:hAnsi="Times New Roman" w:eastAsia="Times New Roman" w:cs="Times New Roman"/>
          <w:sz w:val="24"/>
          <w:szCs w:val="24"/>
        </w:rPr>
      </w:pPr>
      <w:r>
        <w:t xml:space="preserve">          </w:t>
      </w:r>
    </w:p>
    <w:p w:rsidR="00FA60D5" w:rsidRDefault="00B26DB1" w14:paraId="6B7AB219" w14:textId="77777777">
      <w:pPr>
        <w:widowControl w:val="0"/>
        <w:pBdr>
          <w:top w:val="single" w:color="000000" w:sz="4" w:space="1"/>
          <w:left w:val="single" w:color="000000" w:sz="4" w:space="4"/>
          <w:bottom w:val="single" w:color="000000" w:sz="4" w:space="1"/>
          <w:right w:val="single" w:color="000000" w:sz="4" w:space="4"/>
        </w:pBdr>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Intercultural Competence:</w:t>
      </w:r>
    </w:p>
    <w:p w:rsidR="00FA60D5" w:rsidP="30383331" w:rsidRDefault="00B26DB1" w14:paraId="5D0F66BC" w14:textId="77777777">
      <w:pPr>
        <w:widowControl w:val="0"/>
        <w:pBdr>
          <w:top w:val="single" w:color="000000" w:sz="4" w:space="1"/>
          <w:left w:val="single" w:color="000000" w:sz="4" w:space="4"/>
          <w:bottom w:val="single" w:color="000000" w:sz="4" w:space="1"/>
          <w:right w:val="single" w:color="000000" w:sz="4" w:space="4"/>
        </w:pBdr>
        <w:spacing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Attitudes: curiosity and openness, readiness to suspend disbelief about other cultures and belief about one’s own.</w:t>
      </w:r>
    </w:p>
    <w:p w:rsidR="00FA60D5" w:rsidRDefault="00B26DB1" w14:paraId="32E52BAA" w14:textId="77777777">
      <w:pPr>
        <w:widowControl w:val="0"/>
        <w:pBdr>
          <w:top w:val="single" w:color="000000" w:sz="4" w:space="1"/>
          <w:left w:val="single" w:color="000000" w:sz="4" w:space="4"/>
          <w:bottom w:val="single" w:color="000000" w:sz="4" w:space="1"/>
          <w:right w:val="single" w:color="000000" w:sz="4" w:space="4"/>
        </w:pBdr>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IH prediction: </w:t>
      </w:r>
    </w:p>
    <w:p w:rsidR="00FA60D5" w:rsidRDefault="00B26DB1" w14:paraId="1CC8EBC8" w14:textId="77777777">
      <w:pPr>
        <w:widowControl w:val="0"/>
        <w:pBdr>
          <w:top w:val="single" w:color="000000" w:sz="4" w:space="1"/>
          <w:left w:val="single" w:color="000000" w:sz="4" w:space="4"/>
          <w:bottom w:val="single" w:color="000000" w:sz="4" w:space="1"/>
          <w:right w:val="single" w:color="000000" w:sz="4" w:space="4"/>
        </w:pBdr>
        <w:spacing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IH increases a person’s propensity to consider alternative ideas, to listen to the views of others, and to spend more time trying to understand someone with whom he disagrees. </w:t>
      </w:r>
    </w:p>
    <w:p w:rsidR="00FA60D5" w:rsidRDefault="00FA60D5" w14:paraId="630A1505" w14:textId="77777777">
      <w:pPr>
        <w:widowControl w:val="0"/>
        <w:pBdr>
          <w:top w:val="single" w:color="000000" w:sz="4" w:space="1"/>
          <w:left w:val="single" w:color="000000" w:sz="4" w:space="4"/>
          <w:bottom w:val="single" w:color="000000" w:sz="4" w:space="1"/>
          <w:right w:val="single" w:color="000000" w:sz="4" w:space="4"/>
        </w:pBdr>
        <w:spacing w:line="360" w:lineRule="auto"/>
        <w:ind w:left="720"/>
        <w:rPr>
          <w:rFonts w:ascii="Times New Roman" w:hAnsi="Times New Roman" w:eastAsia="Times New Roman" w:cs="Times New Roman"/>
          <w:sz w:val="24"/>
          <w:szCs w:val="24"/>
        </w:rPr>
      </w:pPr>
    </w:p>
    <w:p w:rsidR="00FA60D5" w:rsidRDefault="00FA60D5" w14:paraId="14D557F5" w14:textId="77777777">
      <w:pPr>
        <w:widowControl w:val="0"/>
        <w:spacing w:line="360" w:lineRule="auto"/>
        <w:rPr>
          <w:rFonts w:ascii="Times New Roman" w:hAnsi="Times New Roman" w:eastAsia="Times New Roman" w:cs="Times New Roman"/>
          <w:sz w:val="24"/>
          <w:szCs w:val="24"/>
        </w:rPr>
      </w:pPr>
    </w:p>
    <w:p w:rsidR="00FA60D5" w:rsidP="30383331" w:rsidRDefault="00B26DB1" w14:paraId="579BFE23" w14:textId="77777777">
      <w:pPr>
        <w:widowControl w:val="0"/>
        <w:spacing w:line="36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sz w:val="24"/>
          <w:szCs w:val="24"/>
          <w:lang w:val="en-US"/>
        </w:rPr>
        <w:t>Now students meet with their partners virtually, in ‘mixed</w:t>
      </w:r>
      <w:r w:rsidRPr="30383331" w:rsidR="00B26DB1">
        <w:rPr>
          <w:lang w:val="en-US"/>
        </w:rPr>
        <w:t xml:space="preserve"> </w:t>
      </w:r>
      <w:r w:rsidRPr="30383331" w:rsidR="00B26DB1">
        <w:rPr>
          <w:rFonts w:ascii="Times New Roman" w:hAnsi="Times New Roman" w:eastAsia="Times New Roman" w:cs="Times New Roman"/>
          <w:sz w:val="24"/>
          <w:szCs w:val="24"/>
          <w:lang w:val="en-US"/>
        </w:rPr>
        <w:t>groups’,  and present to each other their findings from their own contexts.</w:t>
      </w:r>
    </w:p>
    <w:p w:rsidR="00FA60D5" w:rsidRDefault="00FA60D5" w14:paraId="16715E08" w14:textId="77777777">
      <w:pPr>
        <w:widowControl w:val="0"/>
        <w:spacing w:line="360" w:lineRule="auto"/>
        <w:rPr>
          <w:rFonts w:ascii="Times New Roman" w:hAnsi="Times New Roman" w:eastAsia="Times New Roman" w:cs="Times New Roman"/>
          <w:i/>
          <w:sz w:val="24"/>
          <w:szCs w:val="24"/>
        </w:rPr>
      </w:pPr>
    </w:p>
    <w:p w:rsidR="00FA60D5" w:rsidP="30383331" w:rsidRDefault="00B26DB1" w14:paraId="1631202A"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When the other group presents, students take notes. They think about whether there is any surprising information concerning their partners’ context. They also think about what questions they have about the other context or their own after they heard this new information. Finally, they are asked to write down a few statements related to Covid-19 they believe to be true. These findings are called “Preliminary findings”.</w:t>
      </w:r>
    </w:p>
    <w:p w:rsidR="00FA60D5" w:rsidRDefault="00FA60D5" w14:paraId="75ABBB21" w14:textId="77777777">
      <w:pPr>
        <w:widowControl w:val="0"/>
        <w:spacing w:line="360" w:lineRule="auto"/>
        <w:rPr>
          <w:rFonts w:ascii="Times New Roman" w:hAnsi="Times New Roman" w:eastAsia="Times New Roman" w:cs="Times New Roman"/>
          <w:i/>
          <w:sz w:val="24"/>
          <w:szCs w:val="24"/>
        </w:rPr>
      </w:pPr>
    </w:p>
    <w:p w:rsidR="00FA60D5" w:rsidP="30383331" w:rsidRDefault="00B26DB1" w14:paraId="5836D2F4"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The mixed groups then compare and contrast the findings in the different contexts and try to explain similarities and differences. When they find interesting differences they do more research.  For example, they look for statistics concerning the different topics and also read news articles and other information. They are asked to provide the sources and comment on the reliability of the sources as well.  </w:t>
      </w:r>
    </w:p>
    <w:p w:rsidR="00FA60D5" w:rsidRDefault="00FA60D5" w14:paraId="4A47BF1F" w14:textId="77777777">
      <w:pPr>
        <w:widowControl w:val="0"/>
        <w:spacing w:line="360" w:lineRule="auto"/>
        <w:rPr>
          <w:rFonts w:ascii="Times New Roman" w:hAnsi="Times New Roman" w:eastAsia="Times New Roman" w:cs="Times New Roman"/>
          <w:sz w:val="24"/>
          <w:szCs w:val="24"/>
        </w:rPr>
      </w:pPr>
    </w:p>
    <w:p w:rsidR="00FA60D5" w:rsidRDefault="00B26DB1" w14:paraId="3D7BD1FE"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Other questions they try to answer include: What might be the</w:t>
      </w:r>
      <w:r>
        <w:t xml:space="preserve"> </w:t>
      </w:r>
      <w:r>
        <w:rPr>
          <w:rFonts w:ascii="Times New Roman" w:hAnsi="Times New Roman" w:eastAsia="Times New Roman" w:cs="Times New Roman"/>
          <w:sz w:val="24"/>
          <w:szCs w:val="24"/>
        </w:rPr>
        <w:t xml:space="preserve">underlying convictions or representatives of them on the different sides of the issues at hand? Why might people believe what they believe? </w:t>
      </w:r>
    </w:p>
    <w:p w:rsidR="00FA60D5" w:rsidP="30383331" w:rsidRDefault="00B26DB1" w14:paraId="5233CCEC"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This can first be done in</w:t>
      </w:r>
      <w:r w:rsidRPr="30383331" w:rsidR="00B26DB1">
        <w:rPr>
          <w:lang w:val="en-US"/>
        </w:rPr>
        <w:t xml:space="preserve"> </w:t>
      </w:r>
      <w:r w:rsidRPr="30383331" w:rsidR="00B26DB1">
        <w:rPr>
          <w:rFonts w:ascii="Times New Roman" w:hAnsi="Times New Roman" w:eastAsia="Times New Roman" w:cs="Times New Roman"/>
          <w:sz w:val="24"/>
          <w:szCs w:val="24"/>
          <w:lang w:val="en-US"/>
        </w:rPr>
        <w:t>groups in one context, and there can be another event in which the groups present to each other. As an activity after the event each student looks at their preliminary findings and adjusts them in light of any new information.</w:t>
      </w:r>
    </w:p>
    <w:p w:rsidR="00FA60D5" w:rsidP="30383331" w:rsidRDefault="00B26DB1" w14:paraId="284956CC" w14:textId="77777777">
      <w:pPr>
        <w:widowControl w:val="0"/>
        <w:spacing w:line="360" w:lineRule="auto"/>
        <w:rPr>
          <w:rFonts w:ascii="Times New Roman" w:hAnsi="Times New Roman" w:eastAsia="Times New Roman" w:cs="Times New Roman"/>
          <w:sz w:val="24"/>
          <w:szCs w:val="24"/>
          <w:lang w:val="en-US"/>
        </w:rPr>
      </w:pPr>
      <w:r w:rsidRPr="30383331" w:rsidR="00B26DB1">
        <w:rPr>
          <w:lang w:val="en-US"/>
        </w:rPr>
        <w:t xml:space="preserve">               </w:t>
      </w:r>
      <w:r w:rsidRPr="30383331" w:rsidR="00B26DB1">
        <w:rPr>
          <w:rFonts w:ascii="Times New Roman" w:hAnsi="Times New Roman" w:eastAsia="Times New Roman" w:cs="Times New Roman"/>
          <w:sz w:val="24"/>
          <w:szCs w:val="24"/>
          <w:lang w:val="en-US"/>
        </w:rPr>
        <w:t>Now that students have identified (blind) convictions as one of the reasons for conflicts, the instructor/teacher creates</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a class discussion about convictions; the teachers in the partner group do the same. For example, students can review what convictions they encountered in their research. They can then try to define convictions and distinguish them from beliefs. The teacher can supply some information about convictions in the form of “Here is what some researchers found….”. Students can then think about possible positive and negative consequences of convictions. Do the students think these convictions are backed up by reasoning and by specific information? What other reasons can people have for holding those convictions? </w:t>
      </w:r>
    </w:p>
    <w:p w:rsidR="00FA60D5" w:rsidRDefault="00FA60D5" w14:paraId="20939A84" w14:textId="77777777">
      <w:pPr>
        <w:widowControl w:val="0"/>
        <w:spacing w:line="360" w:lineRule="auto"/>
        <w:rPr>
          <w:rFonts w:ascii="Times New Roman" w:hAnsi="Times New Roman" w:eastAsia="Times New Roman" w:cs="Times New Roman"/>
          <w:sz w:val="24"/>
          <w:szCs w:val="24"/>
        </w:rPr>
      </w:pPr>
    </w:p>
    <w:p w:rsidR="00FA60D5" w:rsidP="30383331" w:rsidRDefault="00B26DB1" w14:paraId="599B7B97"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Finally, students</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can reflect on what circumstances would make convictions more likely to have positive or negative consequences. The teacher can also ask what behaviors and attitudes could be helpful in our attempts at understanding our own convictions as well as those of others. If IH </w:t>
      </w:r>
      <w:r w:rsidRPr="30383331" w:rsidR="00B26DB1">
        <w:rPr>
          <w:rFonts w:ascii="Times New Roman" w:hAnsi="Times New Roman" w:eastAsia="Times New Roman" w:cs="Times New Roman"/>
          <w:sz w:val="24"/>
          <w:szCs w:val="24"/>
          <w:lang w:val="en-US"/>
        </w:rPr>
        <w:t>is not brought up by students themselves, the teacher can ask “Is someone who believes they know everything, more or less likely to question their conviction? Do you think it’s important to know why we have certain convictions?”.</w:t>
      </w:r>
    </w:p>
    <w:p w:rsidR="00FA60D5" w:rsidRDefault="00FA60D5" w14:paraId="3CE12E31" w14:textId="77777777">
      <w:pPr>
        <w:widowControl w:val="0"/>
        <w:spacing w:line="360" w:lineRule="auto"/>
        <w:rPr>
          <w:rFonts w:ascii="Times New Roman" w:hAnsi="Times New Roman" w:eastAsia="Times New Roman" w:cs="Times New Roman"/>
          <w:sz w:val="24"/>
          <w:szCs w:val="24"/>
        </w:rPr>
      </w:pPr>
    </w:p>
    <w:p w:rsidR="00FA60D5" w:rsidP="30383331" w:rsidRDefault="00B26DB1" w14:paraId="25B5DB94" w14:textId="77777777">
      <w:pPr>
        <w:widowControl w:val="0"/>
        <w:spacing w:line="360" w:lineRule="auto"/>
        <w:rPr>
          <w:rFonts w:ascii="Times New Roman" w:hAnsi="Times New Roman" w:eastAsia="Times New Roman" w:cs="Times New Roman"/>
          <w:b w:val="1"/>
          <w:bCs w:val="1"/>
          <w:sz w:val="24"/>
          <w:szCs w:val="24"/>
          <w:lang w:val="en-US"/>
        </w:rPr>
      </w:pPr>
      <w:r w:rsidRPr="30383331" w:rsidR="00B26DB1">
        <w:rPr>
          <w:lang w:val="en-US"/>
        </w:rPr>
        <w:t xml:space="preserve">    </w:t>
      </w:r>
      <w:r w:rsidRPr="30383331" w:rsidR="00B26DB1">
        <w:rPr>
          <w:rFonts w:ascii="Times New Roman" w:hAnsi="Times New Roman" w:eastAsia="Times New Roman" w:cs="Times New Roman"/>
          <w:b w:val="1"/>
          <w:bCs w:val="1"/>
          <w:sz w:val="24"/>
          <w:szCs w:val="24"/>
          <w:lang w:val="en-US"/>
        </w:rPr>
        <w:t>Preparing and taking action</w:t>
      </w:r>
    </w:p>
    <w:p w:rsidR="00FA60D5" w:rsidRDefault="00FA60D5" w14:paraId="4CB58512" w14:textId="77777777">
      <w:pPr>
        <w:widowControl w:val="0"/>
        <w:spacing w:line="360" w:lineRule="auto"/>
        <w:rPr>
          <w:rFonts w:ascii="Times New Roman" w:hAnsi="Times New Roman" w:eastAsia="Times New Roman" w:cs="Times New Roman"/>
          <w:b/>
          <w:sz w:val="24"/>
          <w:szCs w:val="24"/>
        </w:rPr>
      </w:pPr>
    </w:p>
    <w:p w:rsidR="00FA60D5" w:rsidRDefault="00B26DB1" w14:paraId="6ABEE83E" w14:textId="77777777">
      <w:pPr>
        <w:widowControl w:val="0"/>
        <w:spacing w:line="360" w:lineRule="auto"/>
      </w:pPr>
      <w:r w:rsidRPr="30383331" w:rsidR="00B26DB1">
        <w:rPr>
          <w:rFonts w:ascii="Times New Roman" w:hAnsi="Times New Roman" w:eastAsia="Times New Roman" w:cs="Times New Roman"/>
          <w:b w:val="1"/>
          <w:bCs w:val="1"/>
          <w:sz w:val="24"/>
          <w:szCs w:val="24"/>
          <w:lang w:val="en-US"/>
        </w:rPr>
        <w:t xml:space="preserve">Step 5: </w:t>
      </w:r>
      <w:r w:rsidRPr="30383331" w:rsidR="00B26DB1">
        <w:rPr>
          <w:rFonts w:ascii="Times New Roman" w:hAnsi="Times New Roman" w:eastAsia="Times New Roman" w:cs="Times New Roman"/>
          <w:sz w:val="24"/>
          <w:szCs w:val="24"/>
          <w:lang w:val="en-US"/>
        </w:rPr>
        <w:t>In teams, preparing actions for our respective communities (ICit)</w:t>
      </w:r>
    </w:p>
    <w:p w:rsidR="00FA60D5" w:rsidRDefault="00FA60D5" w14:paraId="38E07129" w14:textId="77777777">
      <w:pPr>
        <w:widowControl w:val="0"/>
        <w:spacing w:line="360" w:lineRule="auto"/>
        <w:rPr>
          <w:rFonts w:ascii="Times New Roman" w:hAnsi="Times New Roman" w:eastAsia="Times New Roman" w:cs="Times New Roman"/>
          <w:sz w:val="24"/>
          <w:szCs w:val="24"/>
        </w:rPr>
      </w:pPr>
    </w:p>
    <w:p w:rsidR="00FA60D5" w:rsidP="30383331" w:rsidRDefault="00B26DB1" w14:paraId="1561F52F"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Mixed</w:t>
      </w:r>
      <w:r w:rsidRPr="30383331" w:rsidR="00B26DB1">
        <w:rPr>
          <w:lang w:val="en-US"/>
        </w:rPr>
        <w:t xml:space="preserve"> </w:t>
      </w:r>
      <w:r w:rsidRPr="30383331" w:rsidR="00B26DB1">
        <w:rPr>
          <w:rFonts w:ascii="Times New Roman" w:hAnsi="Times New Roman" w:eastAsia="Times New Roman" w:cs="Times New Roman"/>
          <w:sz w:val="24"/>
          <w:szCs w:val="24"/>
          <w:lang w:val="en-US"/>
        </w:rPr>
        <w:t>groups return</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to working together with the goal to prepare a presentation of what they learned from their conversation with their transnational partners. What did they learn? What might they not have learned if they had only looked in their contexts? Was there anything that was surprising? </w:t>
      </w:r>
    </w:p>
    <w:p w:rsidR="00FA60D5" w:rsidRDefault="00FA60D5" w14:paraId="6A07C3E5" w14:textId="77777777">
      <w:pPr>
        <w:widowControl w:val="0"/>
        <w:pBdr>
          <w:top w:val="single" w:color="000000" w:sz="8" w:space="1"/>
          <w:left w:val="single" w:color="000000" w:sz="8" w:space="4"/>
          <w:bottom w:val="single" w:color="000000" w:sz="8" w:space="1"/>
          <w:right w:val="single" w:color="000000" w:sz="8" w:space="4"/>
        </w:pBdr>
        <w:spacing w:line="360" w:lineRule="auto"/>
        <w:rPr>
          <w:rFonts w:ascii="Times New Roman" w:hAnsi="Times New Roman" w:eastAsia="Times New Roman" w:cs="Times New Roman"/>
          <w:sz w:val="24"/>
          <w:szCs w:val="24"/>
        </w:rPr>
      </w:pPr>
    </w:p>
    <w:p w:rsidR="00FA60D5" w:rsidRDefault="00B26DB1" w14:paraId="46F30E65" w14:textId="77777777">
      <w:pPr>
        <w:widowControl w:val="0"/>
        <w:pBdr>
          <w:top w:val="single" w:color="000000" w:sz="8" w:space="1"/>
          <w:left w:val="single" w:color="000000" w:sz="8" w:space="4"/>
          <w:bottom w:val="single" w:color="000000" w:sz="8" w:space="1"/>
          <w:right w:val="single" w:color="000000" w:sz="8" w:space="4"/>
        </w:pBdr>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Intercultural Citizenship: Learning from collaboration with transnational partners and applying their intercultural competence to prepare for action in the community</w:t>
      </w:r>
    </w:p>
    <w:p w:rsidR="00FA60D5" w:rsidRDefault="00FA60D5" w14:paraId="757C093D" w14:textId="77777777">
      <w:pPr>
        <w:widowControl w:val="0"/>
        <w:spacing w:line="360" w:lineRule="auto"/>
        <w:rPr>
          <w:rFonts w:ascii="Times New Roman" w:hAnsi="Times New Roman" w:eastAsia="Times New Roman" w:cs="Times New Roman"/>
          <w:sz w:val="24"/>
          <w:szCs w:val="24"/>
        </w:rPr>
      </w:pPr>
    </w:p>
    <w:p w:rsidR="00FA60D5" w:rsidRDefault="00B26DB1" w14:paraId="327B4D1E"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Now the students work in mixed groups of ‘us’ and ‘them’ to create an ‘intercultural’ document analyzing the two contexts.</w:t>
      </w:r>
    </w:p>
    <w:p w:rsidR="00FA60D5" w:rsidRDefault="00B26DB1" w14:paraId="3F4A375D"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p w:rsidR="00FA60D5" w:rsidP="30383331" w:rsidRDefault="00B26DB1" w14:paraId="1D3ABEDB"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Then they prepare in mixed groups an action which will take place in their own communities and create informational material to share with their communities. For example, they can prepare informational materials about the best tools for prevention of infection with Covid they identified in their interaction with their partners. They can</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plan informational sessions that fit the context of their community. </w:t>
      </w:r>
    </w:p>
    <w:p w:rsidR="00FA60D5" w:rsidRDefault="00FA60D5" w14:paraId="71B8A9C1" w14:textId="77777777">
      <w:pPr>
        <w:widowControl w:val="0"/>
        <w:spacing w:line="360" w:lineRule="auto"/>
        <w:rPr>
          <w:rFonts w:ascii="Times New Roman" w:hAnsi="Times New Roman" w:eastAsia="Times New Roman" w:cs="Times New Roman"/>
          <w:sz w:val="24"/>
          <w:szCs w:val="24"/>
        </w:rPr>
      </w:pPr>
    </w:p>
    <w:p w:rsidR="00FA60D5" w:rsidRDefault="00B26DB1" w14:paraId="545534EB" w14:textId="77777777">
      <w:pPr>
        <w:widowControl w:val="0"/>
        <w:spacing w:line="360" w:lineRule="auto"/>
      </w:pPr>
      <w:r>
        <w:rPr>
          <w:rFonts w:ascii="Times New Roman" w:hAnsi="Times New Roman" w:eastAsia="Times New Roman" w:cs="Times New Roman"/>
          <w:sz w:val="24"/>
          <w:szCs w:val="24"/>
        </w:rPr>
        <w:t>This is the step where they apply everything they have learned in their interactions and research using</w:t>
      </w:r>
      <w:r>
        <w:t xml:space="preserve"> </w:t>
      </w:r>
      <w:r>
        <w:rPr>
          <w:rFonts w:ascii="Times New Roman" w:hAnsi="Times New Roman" w:eastAsia="Times New Roman" w:cs="Times New Roman"/>
          <w:sz w:val="24"/>
          <w:szCs w:val="24"/>
        </w:rPr>
        <w:t>their intercultural competence, especially their critical cultural awareness: their ‘ability to evaluate, critically and on the basis of an explicit, systematic process of reasoning, values present  in one’s own and other cultures and countries’.</w:t>
      </w:r>
      <w:r>
        <w:t xml:space="preserve">     </w:t>
      </w:r>
    </w:p>
    <w:p w:rsidR="00FA60D5" w:rsidRDefault="00FA60D5" w14:paraId="63DBF31C" w14:textId="77777777">
      <w:pPr>
        <w:widowControl w:val="0"/>
        <w:spacing w:line="360" w:lineRule="auto"/>
      </w:pPr>
    </w:p>
    <w:p w:rsidR="00FA60D5" w:rsidP="30383331" w:rsidRDefault="00B26DB1" w14:paraId="080A6DEA"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This step is especially important as the action element is student-centered and requires students </w:t>
      </w:r>
      <w:r w:rsidRPr="30383331" w:rsidR="00B26DB1">
        <w:rPr>
          <w:rFonts w:ascii="Times New Roman" w:hAnsi="Times New Roman" w:eastAsia="Times New Roman" w:cs="Times New Roman"/>
          <w:sz w:val="24"/>
          <w:szCs w:val="24"/>
          <w:lang w:val="en-US"/>
        </w:rPr>
        <w:t>to reflect on their own beliefs and convictions and determine what convictions they are willing to act upon. As we have seen above, convictions are linked to actions and identities. In considering their planned action projects,</w:t>
      </w:r>
      <w:r w:rsidRPr="30383331" w:rsidR="00B26DB1">
        <w:rPr>
          <w:lang w:val="en-US"/>
        </w:rPr>
        <w:t xml:space="preserve"> </w:t>
      </w:r>
      <w:r w:rsidRPr="30383331" w:rsidR="00B26DB1">
        <w:rPr>
          <w:rFonts w:ascii="Times New Roman" w:hAnsi="Times New Roman" w:eastAsia="Times New Roman" w:cs="Times New Roman"/>
          <w:sz w:val="24"/>
          <w:szCs w:val="24"/>
          <w:lang w:val="en-US"/>
        </w:rPr>
        <w:t>students reflect on potentially negative consequences of convictions as well as the positive ones</w:t>
      </w:r>
      <w:r w:rsidRPr="30383331" w:rsidR="00B26DB1">
        <w:rPr>
          <w:lang w:val="en-US"/>
        </w:rPr>
        <w:t xml:space="preserve">     </w:t>
      </w:r>
      <w:r w:rsidRPr="30383331" w:rsidR="00B26DB1">
        <w:rPr>
          <w:rFonts w:ascii="Times New Roman" w:hAnsi="Times New Roman" w:eastAsia="Times New Roman" w:cs="Times New Roman"/>
          <w:sz w:val="24"/>
          <w:szCs w:val="24"/>
          <w:lang w:val="en-US"/>
        </w:rPr>
        <w:t>.</w:t>
      </w:r>
    </w:p>
    <w:p w:rsidR="00FA60D5" w:rsidRDefault="00FA60D5" w14:paraId="13275D56" w14:textId="77777777">
      <w:pPr>
        <w:widowControl w:val="0"/>
        <w:spacing w:line="360" w:lineRule="auto"/>
        <w:rPr>
          <w:rFonts w:ascii="Times New Roman" w:hAnsi="Times New Roman" w:eastAsia="Times New Roman" w:cs="Times New Roman"/>
          <w:sz w:val="24"/>
          <w:szCs w:val="24"/>
        </w:rPr>
      </w:pPr>
    </w:p>
    <w:p w:rsidR="00FA60D5" w:rsidP="30383331" w:rsidRDefault="00B26DB1" w14:paraId="68346FFA" w14:textId="77777777">
      <w:pPr>
        <w:widowControl w:val="0"/>
        <w:spacing w:line="360" w:lineRule="auto"/>
        <w:rPr>
          <w:rFonts w:ascii="Times New Roman" w:hAnsi="Times New Roman" w:eastAsia="Times New Roman" w:cs="Times New Roman"/>
          <w:b w:val="1"/>
          <w:bCs w:val="1"/>
          <w:sz w:val="24"/>
          <w:szCs w:val="24"/>
          <w:lang w:val="en-US"/>
        </w:rPr>
      </w:pPr>
      <w:r w:rsidRPr="30383331" w:rsidR="00B26DB1">
        <w:rPr>
          <w:rFonts w:ascii="Times New Roman" w:hAnsi="Times New Roman" w:eastAsia="Times New Roman" w:cs="Times New Roman"/>
          <w:b w:val="1"/>
          <w:bCs w:val="1"/>
          <w:sz w:val="24"/>
          <w:szCs w:val="24"/>
          <w:lang w:val="en-US"/>
        </w:rPr>
        <w:t>Step 6:</w:t>
      </w:r>
      <w:r w:rsidRPr="30383331" w:rsidR="00B26DB1">
        <w:rPr>
          <w:rFonts w:ascii="Times New Roman" w:hAnsi="Times New Roman" w:eastAsia="Times New Roman" w:cs="Times New Roman"/>
          <w:sz w:val="24"/>
          <w:szCs w:val="24"/>
          <w:lang w:val="en-US"/>
        </w:rPr>
        <w:t xml:space="preserve"> Taking action in our own community (the action is different from what it would have been if we had not had an intercultural perspective (ICit)</w:t>
      </w:r>
    </w:p>
    <w:p w:rsidR="00FA60D5" w:rsidRDefault="00FA60D5" w14:paraId="3EB8AB74" w14:textId="77777777">
      <w:pPr>
        <w:widowControl w:val="0"/>
        <w:spacing w:line="360" w:lineRule="auto"/>
        <w:rPr>
          <w:rFonts w:ascii="Times New Roman" w:hAnsi="Times New Roman" w:eastAsia="Times New Roman" w:cs="Times New Roman"/>
          <w:sz w:val="24"/>
          <w:szCs w:val="24"/>
        </w:rPr>
      </w:pPr>
    </w:p>
    <w:p w:rsidR="00FA60D5" w:rsidP="30383331" w:rsidRDefault="00B26DB1" w14:paraId="4D964E9E"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As ‘intercultural citizens’, students take action in their own community. Perhaps they include information they learned from their partner. The task is to include references and evidence for their decisions of what action to take and what information to share in the community. </w:t>
      </w:r>
    </w:p>
    <w:p w:rsidR="00FA60D5" w:rsidRDefault="00FA60D5" w14:paraId="1A52D632" w14:textId="77777777">
      <w:pPr>
        <w:spacing w:line="360" w:lineRule="auto"/>
        <w:rPr>
          <w:rFonts w:ascii="Times New Roman" w:hAnsi="Times New Roman" w:eastAsia="Times New Roman" w:cs="Times New Roman"/>
          <w:sz w:val="24"/>
          <w:szCs w:val="24"/>
        </w:rPr>
      </w:pPr>
    </w:p>
    <w:p w:rsidR="00FA60D5" w:rsidP="30383331" w:rsidRDefault="00B26DB1" w14:paraId="76F00AFC"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They might for example decide to write a letter to their representative to change legislation based on specific evidence or there may be other ‘actions in the community’ which they plan and carry out. Students in other projects mentioned earlier have devised many different actions, as described there, and experience shows that this is a step which can be safely left to the students to work through in their own ways.</w:t>
      </w:r>
    </w:p>
    <w:p w:rsidR="00FA60D5" w:rsidRDefault="00FA60D5" w14:paraId="71E2690B" w14:textId="77777777">
      <w:pPr>
        <w:widowControl w:val="0"/>
        <w:spacing w:line="360" w:lineRule="auto"/>
        <w:rPr>
          <w:rFonts w:ascii="Times New Roman" w:hAnsi="Times New Roman" w:eastAsia="Times New Roman" w:cs="Times New Roman"/>
          <w:sz w:val="24"/>
          <w:szCs w:val="24"/>
        </w:rPr>
      </w:pPr>
    </w:p>
    <w:p w:rsidR="00FA60D5" w:rsidRDefault="00B26DB1" w14:paraId="15E4C2CF"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b/>
          <w:sz w:val="24"/>
          <w:szCs w:val="24"/>
        </w:rPr>
        <w:t>Step 7:</w:t>
      </w:r>
      <w:r>
        <w:rPr>
          <w:rFonts w:ascii="Times New Roman" w:hAnsi="Times New Roman" w:eastAsia="Times New Roman" w:cs="Times New Roman"/>
          <w:sz w:val="24"/>
          <w:szCs w:val="24"/>
        </w:rPr>
        <w:t xml:space="preserve"> Reflection on learning (specifically on understanding of how convictions influence our own actions and those of others (IH and analysis of convictions)</w:t>
      </w:r>
    </w:p>
    <w:p w:rsidR="00FA60D5" w:rsidRDefault="00FA60D5" w14:paraId="041243C3" w14:textId="77777777">
      <w:pPr>
        <w:widowControl w:val="0"/>
        <w:spacing w:line="360" w:lineRule="auto"/>
        <w:ind w:left="720"/>
        <w:rPr>
          <w:rFonts w:ascii="Times New Roman" w:hAnsi="Times New Roman" w:eastAsia="Times New Roman" w:cs="Times New Roman"/>
          <w:i/>
          <w:sz w:val="24"/>
          <w:szCs w:val="24"/>
        </w:rPr>
      </w:pPr>
    </w:p>
    <w:tbl>
      <w:tblPr>
        <w:tblStyle w:val="aff6"/>
        <w:tblW w:w="8640" w:type="dxa"/>
        <w:tblInd w:w="8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8640"/>
      </w:tblGrid>
      <w:tr w:rsidR="00FA60D5" w:rsidTr="30383331" w14:paraId="5E515EC7" w14:textId="77777777">
        <w:tc>
          <w:tcPr>
            <w:tcW w:w="8640" w:type="dxa"/>
            <w:shd w:val="clear" w:color="auto" w:fill="auto"/>
            <w:tcMar>
              <w:top w:w="100" w:type="dxa"/>
              <w:left w:w="100" w:type="dxa"/>
              <w:bottom w:w="100" w:type="dxa"/>
              <w:right w:w="100" w:type="dxa"/>
            </w:tcMar>
          </w:tcPr>
          <w:p w:rsidR="00FA60D5" w:rsidP="30383331" w:rsidRDefault="00B26DB1" w14:paraId="4BBE4B08" w14:textId="77777777">
            <w:pPr>
              <w:widowControl w:val="0"/>
              <w:spacing w:line="36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i w:val="1"/>
                <w:iCs w:val="1"/>
                <w:sz w:val="24"/>
                <w:szCs w:val="24"/>
                <w:lang w:val="en-US"/>
              </w:rPr>
              <w:t>This step is an addition to previous work from IH and seeks to develop a reflection not only on what students have learnt and done but also on how their IH has been a crucial element of their cooperation with others.</w:t>
            </w:r>
          </w:p>
        </w:tc>
      </w:tr>
    </w:tbl>
    <w:p w:rsidR="00FA60D5" w:rsidRDefault="00FA60D5" w14:paraId="72ADCF35" w14:textId="77777777">
      <w:pPr>
        <w:widowControl w:val="0"/>
        <w:spacing w:line="360" w:lineRule="auto"/>
        <w:ind w:left="720"/>
        <w:rPr>
          <w:rFonts w:ascii="Times New Roman" w:hAnsi="Times New Roman" w:eastAsia="Times New Roman" w:cs="Times New Roman"/>
          <w:i/>
          <w:sz w:val="24"/>
          <w:szCs w:val="24"/>
        </w:rPr>
      </w:pPr>
    </w:p>
    <w:p w:rsidR="00FA60D5" w:rsidRDefault="00FA60D5" w14:paraId="10F31912" w14:textId="77777777">
      <w:pPr>
        <w:widowControl w:val="0"/>
        <w:spacing w:line="360" w:lineRule="auto"/>
        <w:rPr>
          <w:rFonts w:ascii="Times New Roman" w:hAnsi="Times New Roman" w:eastAsia="Times New Roman" w:cs="Times New Roman"/>
          <w:i/>
          <w:sz w:val="24"/>
          <w:szCs w:val="24"/>
        </w:rPr>
      </w:pPr>
    </w:p>
    <w:p w:rsidR="00FA60D5" w:rsidRDefault="00B26DB1" w14:paraId="591581E8"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Related to the following four IH predictions (see appendix), students can complete the activity below.</w:t>
      </w:r>
    </w:p>
    <w:p w:rsidR="00FA60D5" w:rsidRDefault="00FA60D5" w14:paraId="29258E3B" w14:textId="77777777">
      <w:pPr>
        <w:widowControl w:val="0"/>
        <w:spacing w:line="360" w:lineRule="auto"/>
        <w:rPr>
          <w:rFonts w:ascii="Times New Roman" w:hAnsi="Times New Roman" w:eastAsia="Times New Roman" w:cs="Times New Roman"/>
          <w:i/>
          <w:sz w:val="24"/>
          <w:szCs w:val="24"/>
        </w:rPr>
      </w:pPr>
    </w:p>
    <w:p w:rsidR="00FA60D5" w:rsidP="30383331" w:rsidRDefault="00B26DB1" w14:paraId="20CE24F5" w14:textId="77777777">
      <w:pPr>
        <w:widowControl w:val="0"/>
        <w:spacing w:line="36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i w:val="1"/>
          <w:iCs w:val="1"/>
          <w:sz w:val="24"/>
          <w:szCs w:val="24"/>
          <w:lang w:val="en-US"/>
        </w:rPr>
        <w:t xml:space="preserve">IH increases a person’s propensity to revise a cherished belief or reduce confidence in it, when she learns of defeaters (i.e. reasons to think her belief is false or reasons to be suspicious of her </w:t>
      </w:r>
      <w:r w:rsidRPr="30383331" w:rsidR="00B26DB1">
        <w:rPr>
          <w:rFonts w:ascii="Times New Roman" w:hAnsi="Times New Roman" w:eastAsia="Times New Roman" w:cs="Times New Roman"/>
          <w:i w:val="1"/>
          <w:iCs w:val="1"/>
          <w:sz w:val="24"/>
          <w:szCs w:val="24"/>
          <w:lang w:val="en-US"/>
        </w:rPr>
        <w:t>grounds for it).</w:t>
      </w:r>
    </w:p>
    <w:p w:rsidR="00FA60D5" w:rsidRDefault="00B26DB1" w14:paraId="1F6C9556"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 xml:space="preserve"> </w:t>
      </w:r>
    </w:p>
    <w:p w:rsidR="00FA60D5" w:rsidRDefault="00B26DB1" w14:paraId="23A9BEEA"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IH increases a person’s propensity to consider alternative ideas, to listen to the views of others, and to spend more time trying to understand someone with whom he disagrees.</w:t>
      </w:r>
    </w:p>
    <w:p w:rsidR="00FA60D5" w:rsidRDefault="00B26DB1" w14:paraId="420DD31A"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 xml:space="preserve"> </w:t>
      </w:r>
    </w:p>
    <w:p w:rsidR="00FA60D5" w:rsidP="30383331" w:rsidRDefault="00B26DB1" w14:paraId="276859D9" w14:textId="77777777">
      <w:pPr>
        <w:widowControl w:val="0"/>
        <w:spacing w:line="36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i w:val="1"/>
          <w:iCs w:val="1"/>
          <w:sz w:val="24"/>
          <w:szCs w:val="24"/>
          <w:lang w:val="en-US"/>
        </w:rPr>
        <w:t>IH increases a person’s propensity to have a clearer picture of what he knows and justifiably believes and what he neither knows nor justifiably believes.</w:t>
      </w:r>
    </w:p>
    <w:p w:rsidR="00FA60D5" w:rsidRDefault="00B26DB1" w14:paraId="694BA5A8" w14:textId="77777777">
      <w:pPr>
        <w:widowControl w:val="0"/>
        <w:spacing w:line="360" w:lineRule="auto"/>
        <w:rPr>
          <w:rFonts w:ascii="Times New Roman" w:hAnsi="Times New Roman" w:eastAsia="Times New Roman" w:cs="Times New Roman"/>
          <w:i/>
          <w:sz w:val="24"/>
          <w:szCs w:val="24"/>
        </w:rPr>
      </w:pPr>
      <w:r>
        <w:rPr>
          <w:rFonts w:ascii="Times New Roman" w:hAnsi="Times New Roman" w:eastAsia="Times New Roman" w:cs="Times New Roman"/>
          <w:i/>
          <w:sz w:val="24"/>
          <w:szCs w:val="24"/>
        </w:rPr>
        <w:t xml:space="preserve"> </w:t>
      </w:r>
    </w:p>
    <w:p w:rsidR="00FA60D5" w:rsidP="30383331" w:rsidRDefault="00B26DB1" w14:paraId="161F1758" w14:textId="77777777">
      <w:pPr>
        <w:widowControl w:val="0"/>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lang w:val="en-US"/>
        </w:rPr>
        <w:t xml:space="preserve">IH increases a person’s propensity to hold a belief with the confidence that her evidence merits. </w:t>
      </w:r>
    </w:p>
    <w:p w:rsidR="00FA60D5" w:rsidRDefault="00B26DB1" w14:paraId="41CF415E"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p w:rsidR="00FA60D5" w:rsidRDefault="00B26DB1" w14:paraId="470B880B"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Students write a journal entry at home or in class answering the following questions:</w:t>
      </w:r>
    </w:p>
    <w:p w:rsidR="00FA60D5" w:rsidRDefault="00B26DB1" w14:paraId="206EE01F" w14:textId="77777777">
      <w:pPr>
        <w:widowControl w:val="0"/>
        <w:spacing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p>
    <w:p w:rsidR="00FA60D5" w:rsidP="30383331" w:rsidRDefault="00B26DB1" w14:paraId="5898BBBC" w14:textId="77777777">
      <w:pPr>
        <w:widowControl w:val="0"/>
        <w:spacing w:line="48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1) You investigated several statements about Covid-19 in ___________ and in ___________.  Were there statements you believed before but changed your mind about after your investigation? Please explain.</w:t>
      </w:r>
    </w:p>
    <w:p w:rsidR="00FA60D5" w:rsidRDefault="00B26DB1" w14:paraId="7666F728" w14:textId="77777777">
      <w:pPr>
        <w:widowControl w:val="0"/>
        <w:spacing w:line="48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2) What were the reasons for you changing your mind?</w:t>
      </w:r>
    </w:p>
    <w:p w:rsidR="00FA60D5" w:rsidP="30383331" w:rsidRDefault="00B26DB1" w14:paraId="6724ADE5" w14:textId="77777777">
      <w:pPr>
        <w:widowControl w:val="0"/>
        <w:spacing w:line="48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3) Do you think you have all the evidence you need to know the “correct” answer to your question now? In other words, do you know for sure you know whether the statement is true or not? If so, how and why? If not, what else would you need to do to find out?</w:t>
      </w:r>
    </w:p>
    <w:p w:rsidR="00FA60D5" w:rsidRDefault="00B26DB1" w14:paraId="0530077B" w14:textId="77777777">
      <w:pPr>
        <w:widowControl w:val="0"/>
        <w:spacing w:line="480" w:lineRule="auto"/>
        <w:ind w:left="720"/>
        <w:rPr>
          <w:rFonts w:ascii="Times New Roman" w:hAnsi="Times New Roman" w:eastAsia="Times New Roman" w:cs="Times New Roman"/>
          <w:i/>
          <w:sz w:val="24"/>
          <w:szCs w:val="24"/>
        </w:rPr>
      </w:pPr>
      <w:r>
        <w:rPr>
          <w:rFonts w:ascii="Times New Roman" w:hAnsi="Times New Roman" w:eastAsia="Times New Roman" w:cs="Times New Roman"/>
          <w:sz w:val="24"/>
          <w:szCs w:val="24"/>
        </w:rPr>
        <w:t>4) What was the most important lesson for you in this activity? Did you learn something you consider important? If so, what was that? Is there something you would now like to share with your friends who have not completed this activity?</w:t>
      </w:r>
    </w:p>
    <w:p w:rsidR="00FA60D5" w:rsidRDefault="00FA60D5" w14:paraId="1E9BB2A2" w14:textId="77777777">
      <w:pPr>
        <w:widowControl w:val="0"/>
        <w:spacing w:line="480" w:lineRule="auto"/>
        <w:rPr>
          <w:rFonts w:ascii="Times New Roman" w:hAnsi="Times New Roman" w:eastAsia="Times New Roman" w:cs="Times New Roman"/>
          <w:sz w:val="24"/>
          <w:szCs w:val="24"/>
        </w:rPr>
      </w:pPr>
    </w:p>
    <w:p w:rsidR="00FA60D5" w:rsidRDefault="00B26DB1" w14:paraId="5620A620" w14:textId="77777777">
      <w:pPr>
        <w:spacing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Conclusions</w:t>
      </w:r>
    </w:p>
    <w:p w:rsidR="00FA60D5" w:rsidP="30383331" w:rsidRDefault="00B26DB1" w14:paraId="3D91F916" w14:textId="77777777">
      <w:pPr>
        <w:spacing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It is more important than ever to foster students’ ability to work together with people from different cultural backgrounds and people with different beliefs or convictions. Research on convictions shows that we tend to be a) intolerant of convictions that don’t match ours and b) </w:t>
      </w:r>
      <w:r w:rsidRPr="30383331" w:rsidR="00B26DB1">
        <w:rPr>
          <w:rFonts w:ascii="Times New Roman" w:hAnsi="Times New Roman" w:eastAsia="Times New Roman" w:cs="Times New Roman"/>
          <w:sz w:val="24"/>
          <w:szCs w:val="24"/>
          <w:lang w:val="en-US"/>
        </w:rPr>
        <w:t xml:space="preserve">reluctant to change our convictions as they are tied to our identity and our self-image. Moreover, convictions tend to compel us to engage in action, or to prevent us from action when it is needed. This makes it all the more important that we help our students to become aware of their convictions so that they can make conscious decisions about how they want to engage in their local, national, and global communities. </w:t>
      </w:r>
    </w:p>
    <w:p w:rsidR="00FA60D5" w:rsidP="30383331" w:rsidRDefault="00B26DB1" w14:paraId="240D8434" w14:textId="77777777">
      <w:pPr>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Because convictions are beliefs which do not need to be supported</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by evidence - </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becoming blind convictions - there is less of an incentive to reflect upon them. Additionally, because of the link between convictions and identity, changing convictions can be painful. However, if we want our students to thrive in this interconnected world, they need to learn to listen to each other, be open-minded, admit that they don’t know everything so that they can evaluate information and gain new knowledge, make and admit mistakes, give credit to others when due, and ask for help when they don’t know something. They also need to be aware of the underlying reasons for their convictions so that they are not in danger of blindly following the convictions of others and engaging in actions that are not backed up by evidence. Ultimately this may impact on their identity and self-image: how others see them and how they see themselves. They need, then, to be intellectually humble, intercultural citizens who are active in their community engaging in actions based on mature reflection stimulated by working with people of a different geographical place and cultural identities. </w:t>
      </w:r>
    </w:p>
    <w:p w:rsidR="00FA60D5" w:rsidP="30383331" w:rsidRDefault="00B26DB1" w14:paraId="3595961C" w14:textId="77777777">
      <w:pPr>
        <w:spacing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In this chapter we have offered a possible example of how</w:t>
      </w:r>
      <w:r w:rsidRPr="30383331" w:rsidR="00B26DB1">
        <w:rPr>
          <w:lang w:val="en-US"/>
        </w:rPr>
        <w:t xml:space="preserve"> </w:t>
      </w:r>
      <w:r w:rsidRPr="30383331" w:rsidR="00B26DB1">
        <w:rPr>
          <w:rFonts w:ascii="Times New Roman" w:hAnsi="Times New Roman" w:eastAsia="Times New Roman" w:cs="Times New Roman"/>
          <w:sz w:val="24"/>
          <w:szCs w:val="24"/>
          <w:lang w:val="en-US"/>
        </w:rPr>
        <w:t xml:space="preserve">the concept of IH and the model of intercultural citizenship can be brought together in pedagogical work and enrich each other to help students reflect on the role of convictions in people’s actions. This is an important development from our previous work on intercultural citizenship, because we have demonstrated the potential of the relationship in principle, and we propose to apply in practice  projects such as the one presented in this chapter to study whether students indeed learn to critically examine their own and others’ convictions. </w:t>
      </w:r>
    </w:p>
    <w:p w:rsidR="00FA60D5" w:rsidRDefault="00FA60D5" w14:paraId="46AC7422" w14:textId="77777777">
      <w:pPr>
        <w:spacing w:line="360" w:lineRule="auto"/>
        <w:rPr>
          <w:rFonts w:ascii="Times New Roman" w:hAnsi="Times New Roman" w:eastAsia="Times New Roman" w:cs="Times New Roman"/>
          <w:sz w:val="24"/>
          <w:szCs w:val="24"/>
        </w:rPr>
      </w:pPr>
    </w:p>
    <w:p w:rsidR="00FA60D5" w:rsidRDefault="00FA60D5" w14:paraId="60F00C86" w14:textId="77777777">
      <w:pPr>
        <w:spacing w:line="360" w:lineRule="auto"/>
        <w:rPr>
          <w:rFonts w:ascii="Times New Roman" w:hAnsi="Times New Roman" w:eastAsia="Times New Roman" w:cs="Times New Roman"/>
          <w:sz w:val="24"/>
          <w:szCs w:val="24"/>
          <w:shd w:val="clear" w:color="auto" w:fill="FCFCFC"/>
        </w:rPr>
      </w:pPr>
    </w:p>
    <w:p w:rsidR="00FA60D5" w:rsidRDefault="00B26DB1" w14:paraId="741D5827" w14:textId="77777777">
      <w:pPr>
        <w:spacing w:before="200" w:line="36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Appendix </w:t>
      </w:r>
    </w:p>
    <w:p w:rsidR="00FA60D5" w:rsidP="30383331" w:rsidRDefault="00B26DB1" w14:paraId="24CBCA74" w14:textId="77777777">
      <w:pPr>
        <w:spacing w:before="200" w:line="360" w:lineRule="auto"/>
        <w:rPr>
          <w:rFonts w:ascii="Times New Roman" w:hAnsi="Times New Roman" w:eastAsia="Times New Roman" w:cs="Times New Roman"/>
          <w:b w:val="1"/>
          <w:bCs w:val="1"/>
          <w:i w:val="1"/>
          <w:iCs w:val="1"/>
          <w:sz w:val="24"/>
          <w:szCs w:val="24"/>
          <w:lang w:val="en-US"/>
        </w:rPr>
      </w:pPr>
      <w:r w:rsidRPr="30383331" w:rsidR="00B26DB1">
        <w:rPr>
          <w:rFonts w:ascii="Times New Roman" w:hAnsi="Times New Roman" w:eastAsia="Times New Roman" w:cs="Times New Roman"/>
          <w:i w:val="1"/>
          <w:iCs w:val="1"/>
          <w:sz w:val="24"/>
          <w:szCs w:val="24"/>
          <w:lang w:val="en-US"/>
        </w:rPr>
        <w:t>Whitcomb and colleagues’ 19 “predictions related to a variety of activities, motivations, and feelings” of a person who is intellectually humble (2017 p.520).</w:t>
      </w:r>
    </w:p>
    <w:p w:rsidR="00FA60D5" w:rsidRDefault="00B26DB1" w14:paraId="39228867"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1. IH increases a person’s propensity to admit his intellectual limitations to himself and others. </w:t>
      </w:r>
    </w:p>
    <w:p w:rsidR="00FA60D5" w:rsidP="30383331" w:rsidRDefault="00B26DB1" w14:paraId="7CD79D19"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2. IH reduces both a person’s propensity to pretend to know something when he doesn’t and his confidently answering a question whether or not he knows the answer (think: “male answer syndrome”). </w:t>
      </w:r>
    </w:p>
    <w:p w:rsidR="00FA60D5" w:rsidP="30383331" w:rsidRDefault="00B26DB1" w14:paraId="76B2C56F"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3. IH reduces a person’s propensity to blame and explain-away when confronting her own intellectual shortcomings. </w:t>
      </w:r>
    </w:p>
    <w:p w:rsidR="00FA60D5" w:rsidRDefault="00B26DB1" w14:paraId="434D2F2E"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4. IH decreases a person’s propensity to set unattainable intellectual goals. </w:t>
      </w:r>
    </w:p>
    <w:p w:rsidR="00FA60D5" w:rsidP="30383331" w:rsidRDefault="00B26DB1" w14:paraId="0317DB4B"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5. IH increases a person’s propensity to defer to others who don’t have her intellectual limitations, in situations that call upon those limitations. </w:t>
      </w:r>
    </w:p>
    <w:p w:rsidR="00FA60D5" w:rsidRDefault="00B26DB1" w14:paraId="45448F15"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6. IH increases a person’s concern about her own intellectual mistakes and weaknesses. </w:t>
      </w:r>
    </w:p>
    <w:p w:rsidR="00FA60D5" w:rsidRDefault="00B26DB1" w14:paraId="7231F35E"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7. IH reduces feelings of anxiety and insecurity about one’s own intellectual limitations.</w:t>
      </w:r>
    </w:p>
    <w:p w:rsidR="00FA60D5" w:rsidRDefault="00B26DB1" w14:paraId="01524CB9"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8. IH decreases a person’s propensity to excessively compare herself to others intellectually. </w:t>
      </w:r>
    </w:p>
    <w:p w:rsidR="00FA60D5" w:rsidP="30383331" w:rsidRDefault="00B26DB1" w14:paraId="4D55F427"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9. IH reduces the intellectual aspect of the self-serving bias in a person, which is, very roughly, the propensity to attribute to oneself more responsibility for intellectual successes than for intellectual failures. </w:t>
      </w:r>
    </w:p>
    <w:p w:rsidR="00FA60D5" w:rsidP="30383331" w:rsidRDefault="00B26DB1" w14:paraId="758456AE"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10. IH increases a person’s propensity to revise a cherished belief or reduce confidence in it, when she learns of defeaters (i.e. reasons to think her belief is false or reasons to be suspicious of her grounds for it). </w:t>
      </w:r>
    </w:p>
    <w:p w:rsidR="00FA60D5" w:rsidRDefault="00B26DB1" w14:paraId="70FE46B2"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11. IH increases a person’s propensity to consider alternative ideas, to listen to the views of others, and to spend more time trying to understand someone with whom he disagrees. </w:t>
      </w:r>
    </w:p>
    <w:p w:rsidR="00FA60D5" w:rsidP="30383331" w:rsidRDefault="00B26DB1" w14:paraId="65EB13AC"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12. IH increases a person’s propensity to seek help from other sources about intellectual matters.  </w:t>
      </w:r>
    </w:p>
    <w:p w:rsidR="00FA60D5" w:rsidRDefault="00B26DB1" w14:paraId="065E94D0"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13. IH increases a person’s propensity to hold a belief with the confidence that her evidence merits. </w:t>
      </w:r>
    </w:p>
    <w:p w:rsidR="00FA60D5" w:rsidP="30383331" w:rsidRDefault="00B26DB1" w14:paraId="757FB58B"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14. IH increases a person’s propensity to have a clearer picture of what he knows and justifiedly believes and what he neither knows nor justifiedly believes.</w:t>
      </w:r>
    </w:p>
    <w:p w:rsidR="00FA60D5" w:rsidRDefault="00B26DB1" w14:paraId="3F64885D"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15. IH reduces a person’s propensity to expect or seek recognition and praise for her intellectual strengths and accomplishments. </w:t>
      </w:r>
    </w:p>
    <w:p w:rsidR="00FA60D5" w:rsidP="30383331" w:rsidRDefault="00B26DB1" w14:paraId="0ED01CCC"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16. IH reduces a person’s propensity to treat intellectual inferiors with disrespect on the basis of his (supposed) intellectual superiority. </w:t>
      </w:r>
    </w:p>
    <w:p w:rsidR="00FA60D5" w:rsidRDefault="00B26DB1" w14:paraId="60ED7CBF"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17. IH tends to decrease focus on oneself and to increase focus on Others.</w:t>
      </w:r>
    </w:p>
    <w:p w:rsidR="00FA60D5" w:rsidRDefault="00B26DB1" w14:paraId="11D7A5E6"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18. IH increases a person’s propensity to accurately estimate her intellectual strengths. </w:t>
      </w:r>
    </w:p>
    <w:p w:rsidR="00FA60D5" w:rsidRDefault="00B26DB1" w14:paraId="19041B5C"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19. IH decreases a person’s propensity to be obsessed with his strengths and to boast about them. </w:t>
      </w:r>
    </w:p>
    <w:p w:rsidR="00FA60D5" w:rsidP="30383331" w:rsidRDefault="00B26DB1" w14:paraId="4D9A51BE"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  </w:t>
      </w:r>
      <w:r>
        <w:tab/>
      </w:r>
      <w:r>
        <w:tab/>
      </w:r>
      <w:r>
        <w:tab/>
      </w:r>
      <w:r>
        <w:tab/>
      </w:r>
      <w:r>
        <w:tab/>
      </w:r>
      <w:r>
        <w:tab/>
      </w:r>
      <w:r>
        <w:tab/>
      </w:r>
      <w:r>
        <w:tab/>
      </w:r>
      <w:r w:rsidRPr="30383331" w:rsidR="00B26DB1">
        <w:rPr>
          <w:rFonts w:ascii="Times New Roman" w:hAnsi="Times New Roman" w:eastAsia="Times New Roman" w:cs="Times New Roman"/>
          <w:sz w:val="24"/>
          <w:szCs w:val="24"/>
          <w:lang w:val="en-US"/>
        </w:rPr>
        <w:t>(Whitcomb et al., 2017 pp 521-534)</w:t>
      </w:r>
    </w:p>
    <w:p w:rsidR="00FA60D5" w:rsidRDefault="00FA60D5" w14:paraId="343EBE24" w14:textId="77777777">
      <w:pPr>
        <w:spacing w:line="480" w:lineRule="auto"/>
        <w:jc w:val="center"/>
        <w:rPr>
          <w:rFonts w:ascii="Times New Roman" w:hAnsi="Times New Roman" w:eastAsia="Times New Roman" w:cs="Times New Roman"/>
          <w:sz w:val="24"/>
          <w:szCs w:val="24"/>
          <w:shd w:val="clear" w:color="auto" w:fill="FCFCFC"/>
        </w:rPr>
      </w:pPr>
    </w:p>
    <w:p w:rsidR="00FA60D5" w:rsidRDefault="00B26DB1" w14:paraId="661135EE" w14:textId="77777777">
      <w:pPr>
        <w:spacing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REFERENCES</w:t>
      </w:r>
    </w:p>
    <w:p w:rsidR="00FA60D5" w:rsidRDefault="00FA60D5" w14:paraId="3D4ED6E9" w14:textId="77777777">
      <w:pPr>
        <w:spacing w:before="200" w:line="480" w:lineRule="auto"/>
        <w:rPr>
          <w:rFonts w:ascii="Times New Roman" w:hAnsi="Times New Roman" w:eastAsia="Times New Roman" w:cs="Times New Roman"/>
          <w:sz w:val="24"/>
          <w:szCs w:val="24"/>
          <w:highlight w:val="green"/>
        </w:rPr>
      </w:pPr>
    </w:p>
    <w:p w:rsidR="00FA60D5" w:rsidRDefault="00B26DB1" w14:paraId="14976E42" w14:textId="77777777">
      <w:pPr>
        <w:widowControl w:val="0"/>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Barrett, M., &amp; Zani, B. (2015). Political and civic engagement: Theoretical understandings, </w:t>
      </w:r>
    </w:p>
    <w:p w:rsidR="00FA60D5" w:rsidRDefault="00B26DB1" w14:paraId="106D83A4" w14:textId="77777777">
      <w:pPr>
        <w:widowControl w:val="0"/>
        <w:spacing w:before="200" w:line="360" w:lineRule="auto"/>
        <w:ind w:firstLine="720"/>
        <w:rPr>
          <w:rFonts w:ascii="Times New Roman" w:hAnsi="Times New Roman" w:eastAsia="Times New Roman" w:cs="Times New Roman"/>
          <w:i/>
          <w:sz w:val="24"/>
          <w:szCs w:val="24"/>
        </w:rPr>
      </w:pPr>
      <w:r>
        <w:rPr>
          <w:rFonts w:ascii="Times New Roman" w:hAnsi="Times New Roman" w:eastAsia="Times New Roman" w:cs="Times New Roman"/>
          <w:sz w:val="24"/>
          <w:szCs w:val="24"/>
        </w:rPr>
        <w:t xml:space="preserve">evidence and policies. In: M. Barrett and B. Zani (Eds.), </w:t>
      </w:r>
      <w:r>
        <w:rPr>
          <w:rFonts w:ascii="Times New Roman" w:hAnsi="Times New Roman" w:eastAsia="Times New Roman" w:cs="Times New Roman"/>
          <w:i/>
          <w:sz w:val="24"/>
          <w:szCs w:val="24"/>
        </w:rPr>
        <w:t xml:space="preserve">Political and civic engagement: </w:t>
      </w:r>
    </w:p>
    <w:p w:rsidR="00FA60D5" w:rsidRDefault="00B26DB1" w14:paraId="545FDDC1" w14:textId="77777777">
      <w:pPr>
        <w:widowControl w:val="0"/>
        <w:spacing w:before="200"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i/>
          <w:sz w:val="24"/>
          <w:szCs w:val="24"/>
        </w:rPr>
        <w:t xml:space="preserve">Multidisciplinary perspectives </w:t>
      </w:r>
      <w:r>
        <w:rPr>
          <w:rFonts w:ascii="Times New Roman" w:hAnsi="Times New Roman" w:eastAsia="Times New Roman" w:cs="Times New Roman"/>
          <w:sz w:val="24"/>
          <w:szCs w:val="24"/>
        </w:rPr>
        <w:t>(pp. 3-25). London: Routledge.</w:t>
      </w:r>
    </w:p>
    <w:p w:rsidR="00FA60D5" w:rsidRDefault="001A20D1" w14:paraId="7CCB1146" w14:textId="77777777">
      <w:pPr>
        <w:widowControl w:val="0"/>
        <w:spacing w:before="200" w:line="360" w:lineRule="auto"/>
        <w:ind w:firstLine="720"/>
        <w:rPr>
          <w:rFonts w:ascii="Times New Roman" w:hAnsi="Times New Roman" w:eastAsia="Times New Roman" w:cs="Times New Roman"/>
          <w:sz w:val="24"/>
          <w:szCs w:val="24"/>
        </w:rPr>
      </w:pPr>
      <w:hyperlink r:id="rId15">
        <w:r w:rsidR="00B26DB1">
          <w:rPr>
            <w:rFonts w:ascii="Times New Roman" w:hAnsi="Times New Roman" w:eastAsia="Times New Roman" w:cs="Times New Roman"/>
            <w:color w:val="1155CC"/>
            <w:sz w:val="24"/>
            <w:szCs w:val="24"/>
            <w:u w:val="single"/>
          </w:rPr>
          <w:t>https://doi.org/10.4324/9781315758145</w:t>
        </w:r>
      </w:hyperlink>
      <w:r w:rsidR="00B26DB1">
        <w:rPr>
          <w:rFonts w:ascii="Times New Roman" w:hAnsi="Times New Roman" w:eastAsia="Times New Roman" w:cs="Times New Roman"/>
          <w:sz w:val="24"/>
          <w:szCs w:val="24"/>
        </w:rPr>
        <w:t xml:space="preserve"> </w:t>
      </w:r>
    </w:p>
    <w:p w:rsidR="00FA60D5" w:rsidP="30383331" w:rsidRDefault="00B26DB1" w14:paraId="1562944E" w14:textId="77777777">
      <w:pPr>
        <w:widowControl w:val="0"/>
        <w:spacing w:before="200" w:line="360" w:lineRule="auto"/>
        <w:ind w:right="158"/>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Bohling, A., Wagner, M., Cardetti, F., &amp; Byram, M. (2016). Unit: Understanding Different </w:t>
      </w:r>
    </w:p>
    <w:p w:rsidR="00FA60D5" w:rsidRDefault="00B26DB1" w14:paraId="01E04124" w14:textId="77777777">
      <w:pPr>
        <w:widowControl w:val="0"/>
        <w:spacing w:before="200" w:line="360" w:lineRule="auto"/>
        <w:ind w:right="158"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Scenarios in Immigration” </w:t>
      </w:r>
      <w:r>
        <w:rPr>
          <w:rFonts w:ascii="Times New Roman" w:hAnsi="Times New Roman" w:eastAsia="Times New Roman" w:cs="Times New Roman"/>
          <w:i/>
          <w:sz w:val="24"/>
          <w:szCs w:val="24"/>
        </w:rPr>
        <w:t>CASLS Topic of the Week: 2016-06-20</w:t>
      </w:r>
      <w:r>
        <w:rPr>
          <w:rFonts w:ascii="Times New Roman" w:hAnsi="Times New Roman" w:eastAsia="Times New Roman" w:cs="Times New Roman"/>
          <w:sz w:val="24"/>
          <w:szCs w:val="24"/>
        </w:rPr>
        <w:t xml:space="preserve">, Center for Applied </w:t>
      </w:r>
    </w:p>
    <w:p w:rsidR="00FA60D5" w:rsidRDefault="00B26DB1" w14:paraId="132FBC86" w14:textId="77777777">
      <w:pPr>
        <w:widowControl w:val="0"/>
        <w:spacing w:before="200" w:line="360" w:lineRule="auto"/>
        <w:ind w:right="158"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Second Language Studies Eugene, OR: University of Oregon. Center for Applied </w:t>
      </w:r>
    </w:p>
    <w:p w:rsidR="00FA60D5" w:rsidRDefault="00B26DB1" w14:paraId="29602E3C" w14:textId="77777777">
      <w:pPr>
        <w:widowControl w:val="0"/>
        <w:spacing w:before="200" w:line="360" w:lineRule="auto"/>
        <w:ind w:right="158" w:firstLine="720"/>
        <w:rPr>
          <w:rFonts w:ascii="Times New Roman" w:hAnsi="Times New Roman" w:eastAsia="Times New Roman" w:cs="Times New Roman"/>
          <w:color w:val="0000FF"/>
          <w:sz w:val="24"/>
          <w:szCs w:val="24"/>
        </w:rPr>
      </w:pPr>
      <w:r>
        <w:rPr>
          <w:rFonts w:ascii="Times New Roman" w:hAnsi="Times New Roman" w:eastAsia="Times New Roman" w:cs="Times New Roman"/>
          <w:sz w:val="24"/>
          <w:szCs w:val="24"/>
        </w:rPr>
        <w:t xml:space="preserve">Second Language Studies </w:t>
      </w:r>
      <w:r>
        <w:rPr>
          <w:rFonts w:ascii="Times New Roman" w:hAnsi="Times New Roman" w:eastAsia="Times New Roman" w:cs="Times New Roman"/>
          <w:color w:val="0000FF"/>
          <w:sz w:val="24"/>
          <w:szCs w:val="24"/>
        </w:rPr>
        <w:t xml:space="preserve">http://caslsintercom.uoregon.edu/content/21365 </w:t>
      </w:r>
    </w:p>
    <w:p w:rsidR="00FA60D5" w:rsidRDefault="00B26DB1" w14:paraId="69DA7E33" w14:textId="77777777">
      <w:pPr>
        <w:widowControl w:val="0"/>
        <w:spacing w:before="312" w:line="360" w:lineRule="auto"/>
        <w:ind w:right="158"/>
        <w:rPr>
          <w:rFonts w:ascii="Times New Roman" w:hAnsi="Times New Roman" w:eastAsia="Times New Roman" w:cs="Times New Roman"/>
          <w:color w:val="222222"/>
          <w:sz w:val="24"/>
          <w:szCs w:val="24"/>
        </w:rPr>
      </w:pPr>
      <w:r>
        <w:rPr>
          <w:rFonts w:ascii="Times New Roman" w:hAnsi="Times New Roman" w:eastAsia="Times New Roman" w:cs="Times New Roman"/>
          <w:color w:val="222222"/>
          <w:sz w:val="24"/>
          <w:szCs w:val="24"/>
        </w:rPr>
        <w:t xml:space="preserve">Byram, M. (1997) </w:t>
      </w:r>
      <w:r>
        <w:rPr>
          <w:rFonts w:ascii="Times New Roman" w:hAnsi="Times New Roman" w:eastAsia="Times New Roman" w:cs="Times New Roman"/>
          <w:i/>
          <w:color w:val="222222"/>
          <w:sz w:val="24"/>
          <w:szCs w:val="24"/>
        </w:rPr>
        <w:t xml:space="preserve">Teaching and assessing intercultural communicative competence. </w:t>
      </w:r>
      <w:r>
        <w:rPr>
          <w:rFonts w:ascii="Times New Roman" w:hAnsi="Times New Roman" w:eastAsia="Times New Roman" w:cs="Times New Roman"/>
          <w:color w:val="222222"/>
          <w:sz w:val="24"/>
          <w:szCs w:val="24"/>
        </w:rPr>
        <w:t>Clevedon,</w:t>
      </w:r>
    </w:p>
    <w:p w:rsidR="00FA60D5" w:rsidRDefault="00B26DB1" w14:paraId="7E285286" w14:textId="77777777">
      <w:pPr>
        <w:widowControl w:val="0"/>
        <w:spacing w:before="312" w:line="360" w:lineRule="auto"/>
        <w:ind w:right="158" w:firstLine="720"/>
        <w:rPr>
          <w:rFonts w:ascii="Times New Roman" w:hAnsi="Times New Roman" w:eastAsia="Times New Roman" w:cs="Times New Roman"/>
          <w:color w:val="222222"/>
          <w:sz w:val="24"/>
          <w:szCs w:val="24"/>
        </w:rPr>
      </w:pPr>
      <w:r>
        <w:rPr>
          <w:rFonts w:ascii="Times New Roman" w:hAnsi="Times New Roman" w:eastAsia="Times New Roman" w:cs="Times New Roman"/>
          <w:color w:val="222222"/>
          <w:sz w:val="24"/>
          <w:szCs w:val="24"/>
        </w:rPr>
        <w:t>UK: Multilingual Matters.</w:t>
      </w:r>
    </w:p>
    <w:p w:rsidR="00FA60D5" w:rsidRDefault="00B26DB1" w14:paraId="6BF2E360" w14:textId="77777777">
      <w:pPr>
        <w:shd w:val="clear" w:color="auto" w:fill="FFFFFF"/>
        <w:spacing w:before="20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Byram, M. (2021). </w:t>
      </w:r>
      <w:r>
        <w:rPr>
          <w:rFonts w:ascii="Times New Roman" w:hAnsi="Times New Roman" w:eastAsia="Times New Roman" w:cs="Times New Roman"/>
          <w:i/>
          <w:sz w:val="24"/>
          <w:szCs w:val="24"/>
        </w:rPr>
        <w:t>Teaching and assessing intercultural communicative competence - revisited.</w:t>
      </w:r>
      <w:r>
        <w:rPr>
          <w:rFonts w:ascii="Times New Roman" w:hAnsi="Times New Roman" w:eastAsia="Times New Roman" w:cs="Times New Roman"/>
          <w:sz w:val="24"/>
          <w:szCs w:val="24"/>
        </w:rPr>
        <w:t xml:space="preserve"> </w:t>
      </w:r>
    </w:p>
    <w:p w:rsidR="00FA60D5" w:rsidRDefault="00B26DB1" w14:paraId="6009CE16" w14:textId="77777777">
      <w:pPr>
        <w:shd w:val="clear" w:color="auto" w:fill="FFFFFF"/>
        <w:spacing w:before="200" w:line="360" w:lineRule="auto"/>
        <w:ind w:firstLine="72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(2nd ed.) Blue Ridge Summit: Multilingual Matters. </w:t>
      </w:r>
    </w:p>
    <w:p w:rsidR="00FA60D5" w:rsidRDefault="001A20D1" w14:paraId="733417B4" w14:textId="77777777">
      <w:pPr>
        <w:shd w:val="clear" w:color="auto" w:fill="FFFFFF"/>
        <w:spacing w:before="200" w:line="360" w:lineRule="auto"/>
        <w:ind w:firstLine="720"/>
        <w:jc w:val="both"/>
        <w:rPr>
          <w:rFonts w:ascii="Times New Roman" w:hAnsi="Times New Roman" w:eastAsia="Times New Roman" w:cs="Times New Roman"/>
          <w:sz w:val="24"/>
          <w:szCs w:val="24"/>
        </w:rPr>
      </w:pPr>
      <w:hyperlink r:id="rId16">
        <w:r w:rsidR="00B26DB1">
          <w:rPr>
            <w:rFonts w:ascii="Times New Roman" w:hAnsi="Times New Roman" w:eastAsia="Times New Roman" w:cs="Times New Roman"/>
            <w:color w:val="1155CC"/>
            <w:sz w:val="24"/>
            <w:szCs w:val="24"/>
            <w:u w:val="single"/>
          </w:rPr>
          <w:t>https://doi.org/10.21832/9781800410251</w:t>
        </w:r>
      </w:hyperlink>
      <w:r w:rsidR="00B26DB1">
        <w:rPr>
          <w:rFonts w:ascii="Times New Roman" w:hAnsi="Times New Roman" w:eastAsia="Times New Roman" w:cs="Times New Roman"/>
          <w:sz w:val="24"/>
          <w:szCs w:val="24"/>
        </w:rPr>
        <w:t xml:space="preserve"> </w:t>
      </w:r>
    </w:p>
    <w:p w:rsidR="00FA60D5" w:rsidRDefault="00B26DB1" w14:paraId="307E3BF1" w14:textId="77777777">
      <w:pPr>
        <w:spacing w:before="200" w:line="360" w:lineRule="auto"/>
        <w:jc w:val="both"/>
        <w:rPr>
          <w:rFonts w:ascii="Times New Roman" w:hAnsi="Times New Roman" w:eastAsia="Times New Roman" w:cs="Times New Roman"/>
          <w:i/>
          <w:sz w:val="24"/>
          <w:szCs w:val="24"/>
        </w:rPr>
      </w:pPr>
      <w:r>
        <w:rPr>
          <w:rFonts w:ascii="Times New Roman" w:hAnsi="Times New Roman" w:eastAsia="Times New Roman" w:cs="Times New Roman"/>
          <w:sz w:val="24"/>
          <w:szCs w:val="24"/>
        </w:rPr>
        <w:t xml:space="preserve">Byram, M. (2008). </w:t>
      </w:r>
      <w:r>
        <w:rPr>
          <w:rFonts w:ascii="Times New Roman" w:hAnsi="Times New Roman" w:eastAsia="Times New Roman" w:cs="Times New Roman"/>
          <w:i/>
          <w:sz w:val="24"/>
          <w:szCs w:val="24"/>
        </w:rPr>
        <w:t xml:space="preserve">From foreign language education to education for intercultural citizenship: </w:t>
      </w:r>
    </w:p>
    <w:p w:rsidR="00FA60D5" w:rsidRDefault="00B26DB1" w14:paraId="75CE6796" w14:textId="77777777">
      <w:pPr>
        <w:spacing w:before="200" w:line="360" w:lineRule="auto"/>
        <w:ind w:firstLine="720"/>
        <w:jc w:val="both"/>
        <w:rPr>
          <w:rFonts w:ascii="Times New Roman" w:hAnsi="Times New Roman" w:eastAsia="Times New Roman" w:cs="Times New Roman"/>
          <w:sz w:val="24"/>
          <w:szCs w:val="24"/>
        </w:rPr>
      </w:pPr>
      <w:r>
        <w:rPr>
          <w:rFonts w:ascii="Times New Roman" w:hAnsi="Times New Roman" w:eastAsia="Times New Roman" w:cs="Times New Roman"/>
          <w:i/>
          <w:sz w:val="24"/>
          <w:szCs w:val="24"/>
        </w:rPr>
        <w:t>Essays and reﬂections.</w:t>
      </w:r>
      <w:r>
        <w:rPr>
          <w:rFonts w:ascii="Times New Roman" w:hAnsi="Times New Roman" w:eastAsia="Times New Roman" w:cs="Times New Roman"/>
          <w:sz w:val="24"/>
          <w:szCs w:val="24"/>
        </w:rPr>
        <w:t xml:space="preserve"> Blue Ridge Summit: Multilingual Matters.</w:t>
      </w:r>
    </w:p>
    <w:p w:rsidR="00FA60D5" w:rsidRDefault="001A20D1" w14:paraId="0A68D9EF" w14:textId="77777777">
      <w:pPr>
        <w:spacing w:before="200" w:line="360" w:lineRule="auto"/>
        <w:ind w:firstLine="720"/>
        <w:jc w:val="both"/>
        <w:rPr>
          <w:rFonts w:ascii="Times New Roman" w:hAnsi="Times New Roman" w:eastAsia="Times New Roman" w:cs="Times New Roman"/>
          <w:sz w:val="24"/>
          <w:szCs w:val="24"/>
        </w:rPr>
      </w:pPr>
      <w:hyperlink r:id="rId17">
        <w:r w:rsidR="00B26DB1">
          <w:rPr>
            <w:rFonts w:ascii="Times New Roman" w:hAnsi="Times New Roman" w:eastAsia="Times New Roman" w:cs="Times New Roman"/>
            <w:color w:val="1155CC"/>
            <w:sz w:val="24"/>
            <w:szCs w:val="24"/>
            <w:u w:val="single"/>
          </w:rPr>
          <w:t>https://doi.org/10.21832/9781847690807</w:t>
        </w:r>
      </w:hyperlink>
      <w:r w:rsidR="00B26DB1">
        <w:rPr>
          <w:rFonts w:ascii="Times New Roman" w:hAnsi="Times New Roman" w:eastAsia="Times New Roman" w:cs="Times New Roman"/>
          <w:sz w:val="24"/>
          <w:szCs w:val="24"/>
        </w:rPr>
        <w:t xml:space="preserve"> </w:t>
      </w:r>
    </w:p>
    <w:p w:rsidR="00FA60D5" w:rsidP="30383331" w:rsidRDefault="00B26DB1" w14:paraId="737D63C9" w14:textId="77777777">
      <w:pPr>
        <w:spacing w:before="200" w:line="360" w:lineRule="auto"/>
        <w:jc w:val="both"/>
        <w:rPr>
          <w:rFonts w:ascii="Times New Roman" w:hAnsi="Times New Roman" w:eastAsia="Times New Roman" w:cs="Times New Roman"/>
          <w:i w:val="1"/>
          <w:iCs w:val="1"/>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Byram, M., Golubeva, I., Han, H., &amp; Wagner, M. (Eds.). (2017). </w:t>
      </w:r>
      <w:r w:rsidRPr="30383331" w:rsidR="00B26DB1">
        <w:rPr>
          <w:rFonts w:ascii="Times New Roman" w:hAnsi="Times New Roman" w:eastAsia="Times New Roman" w:cs="Times New Roman"/>
          <w:i w:val="1"/>
          <w:iCs w:val="1"/>
          <w:sz w:val="24"/>
          <w:szCs w:val="24"/>
          <w:highlight w:val="white"/>
          <w:lang w:val="en-US"/>
        </w:rPr>
        <w:t>From principles to practice in</w:t>
      </w:r>
    </w:p>
    <w:p w:rsidR="00FA60D5" w:rsidRDefault="00B26DB1" w14:paraId="2C6A1E8A" w14:textId="77777777">
      <w:pPr>
        <w:spacing w:before="200" w:line="360" w:lineRule="auto"/>
        <w:ind w:firstLine="720"/>
        <w:jc w:val="both"/>
        <w:rPr>
          <w:rFonts w:ascii="Times New Roman" w:hAnsi="Times New Roman" w:eastAsia="Times New Roman" w:cs="Times New Roman"/>
          <w:color w:val="0000FF"/>
          <w:sz w:val="24"/>
          <w:szCs w:val="24"/>
        </w:rPr>
      </w:pPr>
      <w:r>
        <w:rPr>
          <w:rFonts w:ascii="Times New Roman" w:hAnsi="Times New Roman" w:eastAsia="Times New Roman" w:cs="Times New Roman"/>
          <w:i/>
          <w:sz w:val="24"/>
          <w:szCs w:val="24"/>
          <w:highlight w:val="white"/>
        </w:rPr>
        <w:t>education for intercultural citizenship</w:t>
      </w:r>
      <w:r>
        <w:rPr>
          <w:rFonts w:ascii="Times New Roman" w:hAnsi="Times New Roman" w:eastAsia="Times New Roman" w:cs="Times New Roman"/>
          <w:sz w:val="24"/>
          <w:szCs w:val="24"/>
          <w:highlight w:val="white"/>
        </w:rPr>
        <w:t>. Blue Ridge Summit: Multilingual Matters.</w:t>
      </w:r>
    </w:p>
    <w:p w:rsidR="00FA60D5" w:rsidP="30383331" w:rsidRDefault="00B26DB1" w14:paraId="7E226C2C"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Council of Europe (2018) </w:t>
      </w:r>
      <w:r w:rsidRPr="30383331" w:rsidR="00B26DB1">
        <w:rPr>
          <w:rFonts w:ascii="Times New Roman" w:hAnsi="Times New Roman" w:eastAsia="Times New Roman" w:cs="Times New Roman"/>
          <w:i w:val="1"/>
          <w:iCs w:val="1"/>
          <w:sz w:val="24"/>
          <w:szCs w:val="24"/>
          <w:lang w:val="en-US"/>
        </w:rPr>
        <w:t>Reference Framework of Competences for Democratic Culture.</w:t>
      </w:r>
      <w:r w:rsidRPr="30383331" w:rsidR="00B26DB1">
        <w:rPr>
          <w:rFonts w:ascii="Times New Roman" w:hAnsi="Times New Roman" w:eastAsia="Times New Roman" w:cs="Times New Roman"/>
          <w:sz w:val="24"/>
          <w:szCs w:val="24"/>
          <w:lang w:val="en-US"/>
        </w:rPr>
        <w:t xml:space="preserve"> </w:t>
      </w:r>
    </w:p>
    <w:p w:rsidR="00FA60D5" w:rsidRDefault="00B26DB1" w14:paraId="099CBE3D" w14:textId="77777777">
      <w:pPr>
        <w:spacing w:before="200"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(Volume 1) Strasbourg: Council of Europe </w:t>
      </w:r>
    </w:p>
    <w:p w:rsidR="00FA60D5" w:rsidRDefault="001A20D1" w14:paraId="5D3ACD26" w14:textId="77777777">
      <w:pPr>
        <w:spacing w:before="200" w:line="360" w:lineRule="auto"/>
        <w:ind w:firstLine="720"/>
        <w:rPr>
          <w:rFonts w:ascii="Times New Roman" w:hAnsi="Times New Roman" w:eastAsia="Times New Roman" w:cs="Times New Roman"/>
          <w:sz w:val="24"/>
          <w:szCs w:val="24"/>
        </w:rPr>
      </w:pPr>
      <w:hyperlink r:id="rId18">
        <w:r w:rsidR="00B26DB1">
          <w:rPr>
            <w:rFonts w:ascii="Times New Roman" w:hAnsi="Times New Roman" w:eastAsia="Times New Roman" w:cs="Times New Roman"/>
            <w:color w:val="0000FF"/>
            <w:sz w:val="24"/>
            <w:szCs w:val="24"/>
            <w:u w:val="single"/>
          </w:rPr>
          <w:t>https://www.coe.int/en/web/reference-framework-of-competences-for-democratic-culture/</w:t>
        </w:r>
      </w:hyperlink>
      <w:r w:rsidR="00B26DB1">
        <w:rPr>
          <w:rFonts w:ascii="Times New Roman" w:hAnsi="Times New Roman" w:eastAsia="Times New Roman" w:cs="Times New Roman"/>
          <w:sz w:val="24"/>
          <w:szCs w:val="24"/>
        </w:rPr>
        <w:t xml:space="preserve"> </w:t>
      </w:r>
    </w:p>
    <w:p w:rsidR="00FA60D5" w:rsidRDefault="00B26DB1" w14:paraId="33DD2457" w14:textId="77777777">
      <w:pPr>
        <w:spacing w:before="200" w:line="360" w:lineRule="auto"/>
        <w:rPr>
          <w:rFonts w:ascii="Times New Roman" w:hAnsi="Times New Roman" w:eastAsia="Times New Roman" w:cs="Times New Roman"/>
          <w:color w:val="222222"/>
          <w:sz w:val="24"/>
          <w:szCs w:val="24"/>
          <w:highlight w:val="white"/>
        </w:rPr>
      </w:pPr>
      <w:r>
        <w:rPr>
          <w:rFonts w:ascii="Times New Roman" w:hAnsi="Times New Roman" w:eastAsia="Times New Roman" w:cs="Times New Roman"/>
          <w:color w:val="222222"/>
          <w:sz w:val="24"/>
          <w:szCs w:val="24"/>
          <w:highlight w:val="white"/>
        </w:rPr>
        <w:t xml:space="preserve">Dillon, R. S. (2021). Humility and self-respect: Kantian and feminist perspectives. In: M. Alfano, </w:t>
      </w:r>
    </w:p>
    <w:p w:rsidR="00FA60D5" w:rsidP="30383331" w:rsidRDefault="00B26DB1" w14:paraId="45C7E8E9" w14:textId="77777777">
      <w:pPr>
        <w:spacing w:before="200" w:line="360" w:lineRule="auto"/>
        <w:ind w:firstLine="720"/>
        <w:rPr>
          <w:rFonts w:ascii="Times New Roman" w:hAnsi="Times New Roman" w:eastAsia="Times New Roman" w:cs="Times New Roman"/>
          <w:color w:val="222222"/>
          <w:sz w:val="24"/>
          <w:szCs w:val="24"/>
          <w:highlight w:val="white"/>
          <w:lang w:val="en-US"/>
        </w:rPr>
      </w:pPr>
      <w:r w:rsidRPr="30383331" w:rsidR="00B26DB1">
        <w:rPr>
          <w:rFonts w:ascii="Times New Roman" w:hAnsi="Times New Roman" w:eastAsia="Times New Roman" w:cs="Times New Roman"/>
          <w:color w:val="222222"/>
          <w:sz w:val="24"/>
          <w:szCs w:val="24"/>
          <w:highlight w:val="white"/>
          <w:lang w:val="en-US"/>
        </w:rPr>
        <w:t xml:space="preserve">M.P. Lynch, &amp; A. Tanesini. (Eds.). </w:t>
      </w:r>
      <w:r w:rsidRPr="30383331" w:rsidR="00B26DB1">
        <w:rPr>
          <w:rFonts w:ascii="Times New Roman" w:hAnsi="Times New Roman" w:eastAsia="Times New Roman" w:cs="Times New Roman"/>
          <w:i w:val="1"/>
          <w:iCs w:val="1"/>
          <w:color w:val="222222"/>
          <w:sz w:val="24"/>
          <w:szCs w:val="24"/>
          <w:highlight w:val="white"/>
          <w:lang w:val="en-US"/>
        </w:rPr>
        <w:t>The Routledge Handbook of Philosophy of Humility</w:t>
      </w:r>
      <w:r w:rsidRPr="30383331" w:rsidR="00B26DB1">
        <w:rPr>
          <w:rFonts w:ascii="Times New Roman" w:hAnsi="Times New Roman" w:eastAsia="Times New Roman" w:cs="Times New Roman"/>
          <w:color w:val="222222"/>
          <w:sz w:val="24"/>
          <w:szCs w:val="24"/>
          <w:highlight w:val="white"/>
          <w:lang w:val="en-US"/>
        </w:rPr>
        <w:t xml:space="preserve">. </w:t>
      </w:r>
    </w:p>
    <w:p w:rsidR="00FA60D5" w:rsidP="30383331" w:rsidRDefault="00B26DB1" w14:paraId="213EFB2D" w14:textId="77777777">
      <w:pPr>
        <w:spacing w:before="200"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color w:val="222222"/>
          <w:sz w:val="24"/>
          <w:szCs w:val="24"/>
          <w:highlight w:val="white"/>
          <w:lang w:val="en-US"/>
        </w:rPr>
        <w:t xml:space="preserve">(pp. 58-71). New York NY: Routledge. </w:t>
      </w:r>
      <w:hyperlink r:id="R39d46370fa414c7f">
        <w:r w:rsidRPr="30383331" w:rsidR="00B26DB1">
          <w:rPr>
            <w:rFonts w:ascii="Times New Roman" w:hAnsi="Times New Roman" w:eastAsia="Times New Roman" w:cs="Times New Roman"/>
            <w:color w:val="1155CC"/>
            <w:sz w:val="24"/>
            <w:szCs w:val="24"/>
            <w:highlight w:val="white"/>
            <w:u w:val="single"/>
            <w:lang w:val="en-US"/>
          </w:rPr>
          <w:t>https://doi.org/10.4324/9781351107532</w:t>
        </w:r>
      </w:hyperlink>
      <w:r w:rsidRPr="30383331" w:rsidR="00B26DB1">
        <w:rPr>
          <w:rFonts w:ascii="Times New Roman" w:hAnsi="Times New Roman" w:eastAsia="Times New Roman" w:cs="Times New Roman"/>
          <w:color w:val="222222"/>
          <w:sz w:val="24"/>
          <w:szCs w:val="24"/>
          <w:highlight w:val="white"/>
          <w:lang w:val="en-US"/>
        </w:rPr>
        <w:t xml:space="preserve"> </w:t>
      </w:r>
    </w:p>
    <w:p w:rsidR="00FA60D5" w:rsidP="30383331" w:rsidRDefault="00B26DB1" w14:paraId="0836C099"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Golubeva, I., Wagner, M., Yakimowski, M. (2017). Comparing students’ perspectives of global </w:t>
      </w:r>
    </w:p>
    <w:p w:rsidR="00FA60D5" w:rsidRDefault="00B26DB1" w14:paraId="3787597E" w14:textId="77777777">
      <w:pPr>
        <w:spacing w:before="200" w:line="360" w:lineRule="auto"/>
        <w:ind w:firstLine="720"/>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rPr>
        <w:t xml:space="preserve">citizenship in Hungary and the USA. In: </w:t>
      </w:r>
      <w:r>
        <w:rPr>
          <w:rFonts w:ascii="Times New Roman" w:hAnsi="Times New Roman" w:eastAsia="Times New Roman" w:cs="Times New Roman"/>
          <w:sz w:val="24"/>
          <w:szCs w:val="24"/>
          <w:highlight w:val="white"/>
        </w:rPr>
        <w:t xml:space="preserve">Byram, M., Golubeva, I., Han, H., &amp; Wagner, </w:t>
      </w:r>
    </w:p>
    <w:p w:rsidR="00FA60D5" w:rsidP="30383331" w:rsidRDefault="00B26DB1" w14:paraId="5E80FB2E" w14:textId="77777777">
      <w:pPr>
        <w:spacing w:before="200" w:line="360" w:lineRule="auto"/>
        <w:ind w:firstLine="720"/>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M. (Eds.). (2017). </w:t>
      </w:r>
      <w:r w:rsidRPr="30383331" w:rsidR="00B26DB1">
        <w:rPr>
          <w:rFonts w:ascii="Times New Roman" w:hAnsi="Times New Roman" w:eastAsia="Times New Roman" w:cs="Times New Roman"/>
          <w:i w:val="1"/>
          <w:iCs w:val="1"/>
          <w:sz w:val="24"/>
          <w:szCs w:val="24"/>
          <w:highlight w:val="white"/>
          <w:lang w:val="en-US"/>
        </w:rPr>
        <w:t>From principles to practice in education for intercultural citizenship</w:t>
      </w:r>
      <w:r w:rsidRPr="30383331" w:rsidR="00B26DB1">
        <w:rPr>
          <w:rFonts w:ascii="Times New Roman" w:hAnsi="Times New Roman" w:eastAsia="Times New Roman" w:cs="Times New Roman"/>
          <w:sz w:val="24"/>
          <w:szCs w:val="24"/>
          <w:highlight w:val="white"/>
          <w:lang w:val="en-US"/>
        </w:rPr>
        <w:t xml:space="preserve">. </w:t>
      </w:r>
    </w:p>
    <w:p w:rsidR="00FA60D5" w:rsidP="30383331" w:rsidRDefault="00B26DB1" w14:paraId="15310DB2" w14:textId="77777777">
      <w:pPr>
        <w:spacing w:before="200" w:line="360" w:lineRule="auto"/>
        <w:ind w:firstLine="720"/>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(pp. 3-24) Blue Ridge Summit: Multilingual Matters. </w:t>
      </w:r>
    </w:p>
    <w:p w:rsidR="00FA60D5" w:rsidRDefault="001A20D1" w14:paraId="15E7346B" w14:textId="77777777">
      <w:pPr>
        <w:spacing w:before="200" w:line="360" w:lineRule="auto"/>
        <w:ind w:firstLine="720"/>
        <w:rPr>
          <w:rFonts w:ascii="Times New Roman" w:hAnsi="Times New Roman" w:eastAsia="Times New Roman" w:cs="Times New Roman"/>
          <w:sz w:val="24"/>
          <w:szCs w:val="24"/>
          <w:highlight w:val="white"/>
        </w:rPr>
      </w:pPr>
      <w:hyperlink r:id="rId20">
        <w:r w:rsidR="00B26DB1">
          <w:rPr>
            <w:rFonts w:ascii="Times New Roman" w:hAnsi="Times New Roman" w:eastAsia="Times New Roman" w:cs="Times New Roman"/>
            <w:color w:val="1155CC"/>
            <w:sz w:val="24"/>
            <w:szCs w:val="24"/>
            <w:highlight w:val="white"/>
            <w:u w:val="single"/>
          </w:rPr>
          <w:t>https://doi.org/10.21832/9781783096565-005</w:t>
        </w:r>
      </w:hyperlink>
      <w:r w:rsidR="00B26DB1">
        <w:rPr>
          <w:rFonts w:ascii="Times New Roman" w:hAnsi="Times New Roman" w:eastAsia="Times New Roman" w:cs="Times New Roman"/>
          <w:sz w:val="24"/>
          <w:szCs w:val="24"/>
          <w:highlight w:val="white"/>
        </w:rPr>
        <w:t xml:space="preserve"> </w:t>
      </w:r>
    </w:p>
    <w:p w:rsidR="00FA60D5" w:rsidRDefault="00B26DB1" w14:paraId="61D29CAC" w14:textId="77777777">
      <w:pPr>
        <w:widowControl w:val="0"/>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Garcia, R. K., &amp; King, N. L. (2016). Toward intellectually virtuous discourse: Two vicious </w:t>
      </w:r>
    </w:p>
    <w:p w:rsidR="00FA60D5" w:rsidRDefault="00B26DB1" w14:paraId="67D16E57" w14:textId="77777777">
      <w:pPr>
        <w:widowControl w:val="0"/>
        <w:spacing w:before="200" w:line="360" w:lineRule="auto"/>
        <w:ind w:firstLine="720"/>
        <w:rPr>
          <w:rFonts w:ascii="Times New Roman" w:hAnsi="Times New Roman" w:eastAsia="Times New Roman" w:cs="Times New Roman"/>
          <w:i/>
          <w:sz w:val="24"/>
          <w:szCs w:val="24"/>
        </w:rPr>
      </w:pPr>
      <w:r>
        <w:rPr>
          <w:rFonts w:ascii="Times New Roman" w:hAnsi="Times New Roman" w:eastAsia="Times New Roman" w:cs="Times New Roman"/>
          <w:sz w:val="24"/>
          <w:szCs w:val="24"/>
        </w:rPr>
        <w:t xml:space="preserve">fallacies and the virtues that inhibit them. In: J. Baehr (Ed.), </w:t>
      </w:r>
      <w:r>
        <w:rPr>
          <w:rFonts w:ascii="Times New Roman" w:hAnsi="Times New Roman" w:eastAsia="Times New Roman" w:cs="Times New Roman"/>
          <w:i/>
          <w:sz w:val="24"/>
          <w:szCs w:val="24"/>
        </w:rPr>
        <w:t xml:space="preserve">Intellectual virtues and </w:t>
      </w:r>
    </w:p>
    <w:p w:rsidR="00FA60D5" w:rsidP="30383331" w:rsidRDefault="00B26DB1" w14:paraId="6882E31C" w14:textId="77777777">
      <w:pPr>
        <w:widowControl w:val="0"/>
        <w:spacing w:before="200"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lang w:val="en-US"/>
        </w:rPr>
        <w:t>education: Essays in applied virtue epistemology</w:t>
      </w:r>
      <w:r w:rsidRPr="30383331" w:rsidR="00B26DB1">
        <w:rPr>
          <w:rFonts w:ascii="Times New Roman" w:hAnsi="Times New Roman" w:eastAsia="Times New Roman" w:cs="Times New Roman"/>
          <w:sz w:val="24"/>
          <w:szCs w:val="24"/>
          <w:lang w:val="en-US"/>
        </w:rPr>
        <w:t xml:space="preserve"> (pp 202-220). New York, NY: Routledge. </w:t>
      </w:r>
      <w:hyperlink r:id="R46d2ca5aab7d416c">
        <w:r w:rsidRPr="30383331" w:rsidR="00B26DB1">
          <w:rPr>
            <w:rFonts w:ascii="Times New Roman" w:hAnsi="Times New Roman" w:eastAsia="Times New Roman" w:cs="Times New Roman"/>
            <w:color w:val="1155CC"/>
            <w:sz w:val="24"/>
            <w:szCs w:val="24"/>
            <w:u w:val="single"/>
            <w:lang w:val="en-US"/>
          </w:rPr>
          <w:t>https://doi.org/10.4324/9781315714127</w:t>
        </w:r>
      </w:hyperlink>
      <w:r w:rsidRPr="30383331" w:rsidR="00B26DB1">
        <w:rPr>
          <w:rFonts w:ascii="Times New Roman" w:hAnsi="Times New Roman" w:eastAsia="Times New Roman" w:cs="Times New Roman"/>
          <w:sz w:val="24"/>
          <w:szCs w:val="24"/>
          <w:lang w:val="en-US"/>
        </w:rPr>
        <w:t xml:space="preserve"> </w:t>
      </w:r>
    </w:p>
    <w:p w:rsidR="00FA60D5" w:rsidRDefault="00FA60D5" w14:paraId="004F8B68" w14:textId="77777777">
      <w:pPr>
        <w:widowControl w:val="0"/>
        <w:spacing w:before="200" w:line="360" w:lineRule="auto"/>
        <w:rPr>
          <w:rFonts w:ascii="Times New Roman" w:hAnsi="Times New Roman" w:eastAsia="Times New Roman" w:cs="Times New Roman"/>
          <w:sz w:val="24"/>
          <w:szCs w:val="24"/>
        </w:rPr>
      </w:pPr>
    </w:p>
    <w:p w:rsidR="00FA60D5" w:rsidRDefault="00B26DB1" w14:paraId="06A3CD48" w14:textId="77777777">
      <w:pPr>
        <w:widowControl w:val="0"/>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Hazlett, A. (2012). Higher-order epistemic attitudes and intellectual humility. </w:t>
      </w:r>
      <w:r>
        <w:rPr>
          <w:rFonts w:ascii="Times New Roman" w:hAnsi="Times New Roman" w:eastAsia="Times New Roman" w:cs="Times New Roman"/>
          <w:i/>
          <w:sz w:val="24"/>
          <w:szCs w:val="24"/>
        </w:rPr>
        <w:t xml:space="preserve">Episteme, 9 </w:t>
      </w:r>
      <w:r>
        <w:rPr>
          <w:rFonts w:ascii="Times New Roman" w:hAnsi="Times New Roman" w:eastAsia="Times New Roman" w:cs="Times New Roman"/>
          <w:sz w:val="24"/>
          <w:szCs w:val="24"/>
        </w:rPr>
        <w:t xml:space="preserve">(03), </w:t>
      </w:r>
    </w:p>
    <w:p w:rsidR="00FA60D5" w:rsidRDefault="00B26DB1" w14:paraId="5506F4FC" w14:textId="77777777">
      <w:pPr>
        <w:widowControl w:val="0"/>
        <w:spacing w:before="200"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205-223. </w:t>
      </w:r>
      <w:hyperlink r:id="rId22">
        <w:r>
          <w:rPr>
            <w:rFonts w:ascii="Times New Roman" w:hAnsi="Times New Roman" w:eastAsia="Times New Roman" w:cs="Times New Roman"/>
            <w:color w:val="1155CC"/>
            <w:sz w:val="24"/>
            <w:szCs w:val="24"/>
            <w:u w:val="single"/>
          </w:rPr>
          <w:t>http://dx.doi.org/10.1017/epi.2012.11</w:t>
        </w:r>
      </w:hyperlink>
      <w:r>
        <w:rPr>
          <w:rFonts w:ascii="Times New Roman" w:hAnsi="Times New Roman" w:eastAsia="Times New Roman" w:cs="Times New Roman"/>
          <w:sz w:val="24"/>
          <w:szCs w:val="24"/>
        </w:rPr>
        <w:t xml:space="preserve"> </w:t>
      </w:r>
    </w:p>
    <w:p w:rsidR="00FA60D5" w:rsidRDefault="00B26DB1" w14:paraId="06F147BF" w14:textId="77777777">
      <w:pPr>
        <w:widowControl w:val="0"/>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Hazlett, A. (2016). The civic virtues of skepticism, intellectual humility, and intellectual </w:t>
      </w:r>
    </w:p>
    <w:p w:rsidR="00FA60D5" w:rsidP="30383331" w:rsidRDefault="00B26DB1" w14:paraId="715A0FB3" w14:textId="77777777">
      <w:pPr>
        <w:widowControl w:val="0"/>
        <w:spacing w:before="200" w:line="360" w:lineRule="auto"/>
        <w:ind w:firstLine="720"/>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sz w:val="24"/>
          <w:szCs w:val="24"/>
          <w:lang w:val="en-US"/>
        </w:rPr>
        <w:t xml:space="preserve">criticism. In J. Baehr (Ed.), </w:t>
      </w:r>
      <w:r w:rsidRPr="30383331" w:rsidR="00B26DB1">
        <w:rPr>
          <w:rFonts w:ascii="Times New Roman" w:hAnsi="Times New Roman" w:eastAsia="Times New Roman" w:cs="Times New Roman"/>
          <w:i w:val="1"/>
          <w:iCs w:val="1"/>
          <w:sz w:val="24"/>
          <w:szCs w:val="24"/>
          <w:lang w:val="en-US"/>
        </w:rPr>
        <w:t>Intellectual virtues and education: Essays in applied virtue ]</w:t>
      </w:r>
    </w:p>
    <w:p w:rsidR="00FA60D5" w:rsidRDefault="00B26DB1" w14:paraId="27193167" w14:textId="77777777">
      <w:pPr>
        <w:widowControl w:val="0"/>
        <w:spacing w:before="200"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i/>
          <w:sz w:val="24"/>
          <w:szCs w:val="24"/>
        </w:rPr>
        <w:t>epistemology</w:t>
      </w:r>
      <w:r>
        <w:rPr>
          <w:rFonts w:ascii="Times New Roman" w:hAnsi="Times New Roman" w:eastAsia="Times New Roman" w:cs="Times New Roman"/>
          <w:sz w:val="24"/>
          <w:szCs w:val="24"/>
        </w:rPr>
        <w:t xml:space="preserve"> (pp. 71-94). New York, NY: Routledge. </w:t>
      </w:r>
    </w:p>
    <w:p w:rsidR="00FA60D5" w:rsidRDefault="001A20D1" w14:paraId="0C88FB23" w14:textId="77777777">
      <w:pPr>
        <w:widowControl w:val="0"/>
        <w:spacing w:before="200" w:line="360" w:lineRule="auto"/>
        <w:ind w:firstLine="720"/>
        <w:rPr>
          <w:rFonts w:ascii="Times New Roman" w:hAnsi="Times New Roman" w:eastAsia="Times New Roman" w:cs="Times New Roman"/>
          <w:sz w:val="24"/>
          <w:szCs w:val="24"/>
        </w:rPr>
      </w:pPr>
      <w:hyperlink r:id="rId23">
        <w:r w:rsidR="00B26DB1">
          <w:rPr>
            <w:rFonts w:ascii="Times New Roman" w:hAnsi="Times New Roman" w:eastAsia="Times New Roman" w:cs="Times New Roman"/>
            <w:color w:val="1155CC"/>
            <w:sz w:val="24"/>
            <w:szCs w:val="24"/>
            <w:u w:val="single"/>
          </w:rPr>
          <w:t>https://doi.org/10.4324/9781315714127</w:t>
        </w:r>
      </w:hyperlink>
      <w:r w:rsidR="00B26DB1">
        <w:rPr>
          <w:rFonts w:ascii="Times New Roman" w:hAnsi="Times New Roman" w:eastAsia="Times New Roman" w:cs="Times New Roman"/>
          <w:sz w:val="24"/>
          <w:szCs w:val="24"/>
        </w:rPr>
        <w:t xml:space="preserve"> </w:t>
      </w:r>
    </w:p>
    <w:p w:rsidR="00FA60D5" w:rsidRDefault="00B26DB1" w14:paraId="7E172276" w14:textId="77777777">
      <w:pPr>
        <w:spacing w:before="200" w:line="360" w:lineRule="auto"/>
        <w:ind w:left="630" w:hanging="63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Hellinger, J.C&gt; (2020). Cosmopolitan Responsibility: Global Injustice, Relational Equality, and Individual Agency. De Gruyter. https://doi.org/10.1515/9783110612271-002</w:t>
      </w:r>
    </w:p>
    <w:p w:rsidR="00FA60D5" w:rsidP="30383331" w:rsidRDefault="00B26DB1" w14:paraId="58920446" w14:textId="77777777">
      <w:pPr>
        <w:spacing w:before="200" w:line="360" w:lineRule="auto"/>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sz w:val="24"/>
          <w:szCs w:val="24"/>
          <w:lang w:val="en-US"/>
        </w:rPr>
        <w:t xml:space="preserve">Himmelmann, G. (2001). </w:t>
      </w:r>
      <w:r w:rsidRPr="30383331" w:rsidR="00B26DB1">
        <w:rPr>
          <w:rFonts w:ascii="Times New Roman" w:hAnsi="Times New Roman" w:eastAsia="Times New Roman" w:cs="Times New Roman"/>
          <w:i w:val="1"/>
          <w:iCs w:val="1"/>
          <w:sz w:val="24"/>
          <w:szCs w:val="24"/>
          <w:lang w:val="en-US"/>
        </w:rPr>
        <w:t xml:space="preserve">Demokratie Lernen als Lebens-, Gesellschafts- und Herrschaftsform: </w:t>
      </w:r>
    </w:p>
    <w:p w:rsidR="00FA60D5" w:rsidP="30383331" w:rsidRDefault="00B26DB1" w14:paraId="74BAD18F" w14:textId="77777777">
      <w:pPr>
        <w:spacing w:before="200"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lang w:val="en-US"/>
        </w:rPr>
        <w:t>Ein Lehr- und Studienbuch.</w:t>
      </w:r>
      <w:r w:rsidRPr="30383331" w:rsidR="00B26DB1">
        <w:rPr>
          <w:rFonts w:ascii="Times New Roman" w:hAnsi="Times New Roman" w:eastAsia="Times New Roman" w:cs="Times New Roman"/>
          <w:sz w:val="24"/>
          <w:szCs w:val="24"/>
          <w:lang w:val="en-US"/>
        </w:rPr>
        <w:t xml:space="preserve"> Schwalbach/Ts: Wochenschau Verlag.</w:t>
      </w:r>
    </w:p>
    <w:p w:rsidR="00FA60D5" w:rsidP="30383331" w:rsidRDefault="00B26DB1" w14:paraId="3E065CE0"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Himmelmann, G. 2003, Zukunft, Fachidentität und Standards der politischen Bildung. </w:t>
      </w:r>
    </w:p>
    <w:p w:rsidR="00FA60D5" w:rsidP="30383331" w:rsidRDefault="00B26DB1" w14:paraId="1525D605" w14:textId="77777777">
      <w:pPr>
        <w:spacing w:before="200"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Unpublished manuscript. Braunschweig: TU Braunschweig, Institut für </w:t>
      </w:r>
    </w:p>
    <w:p w:rsidR="00FA60D5" w:rsidP="30383331" w:rsidRDefault="00B26DB1" w14:paraId="67902CB8" w14:textId="77777777">
      <w:pPr>
        <w:spacing w:before="200" w:line="360" w:lineRule="auto"/>
        <w:ind w:firstLine="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Sozialwissenschaften.</w:t>
      </w:r>
    </w:p>
    <w:p w:rsidR="00FA60D5" w:rsidRDefault="00B26DB1" w14:paraId="211083CF" w14:textId="77777777">
      <w:pPr>
        <w:spacing w:before="200" w:line="360" w:lineRule="auto"/>
      </w:pPr>
      <w:r>
        <w:rPr>
          <w:rFonts w:ascii="Times New Roman" w:hAnsi="Times New Roman" w:eastAsia="Times New Roman" w:cs="Times New Roman"/>
          <w:sz w:val="24"/>
          <w:szCs w:val="24"/>
        </w:rPr>
        <w:t>Humility and conviction in public discourse (n.d.)</w:t>
      </w:r>
      <w:hyperlink r:id="rId24">
        <w:r>
          <w:rPr>
            <w:rFonts w:ascii="Times New Roman" w:hAnsi="Times New Roman" w:eastAsia="Times New Roman" w:cs="Times New Roman"/>
            <w:sz w:val="24"/>
            <w:szCs w:val="24"/>
          </w:rPr>
          <w:t xml:space="preserve"> </w:t>
        </w:r>
      </w:hyperlink>
    </w:p>
    <w:p w:rsidR="00FA60D5" w:rsidRDefault="001A20D1" w14:paraId="119D646F" w14:textId="77777777">
      <w:pPr>
        <w:spacing w:before="200" w:line="360" w:lineRule="auto"/>
        <w:ind w:firstLine="720"/>
        <w:rPr>
          <w:rFonts w:ascii="Times New Roman" w:hAnsi="Times New Roman" w:eastAsia="Times New Roman" w:cs="Times New Roman"/>
          <w:sz w:val="24"/>
          <w:szCs w:val="24"/>
        </w:rPr>
      </w:pPr>
      <w:hyperlink r:id="rId25">
        <w:r w:rsidR="00B26DB1">
          <w:rPr>
            <w:rFonts w:ascii="Times New Roman" w:hAnsi="Times New Roman" w:eastAsia="Times New Roman" w:cs="Times New Roman"/>
            <w:color w:val="1155CC"/>
            <w:sz w:val="24"/>
            <w:szCs w:val="24"/>
            <w:u w:val="single"/>
          </w:rPr>
          <w:t>https://humilityandconviction.uconn.edu/blank/mission/</w:t>
        </w:r>
      </w:hyperlink>
      <w:hyperlink r:id="rId26">
        <w:r w:rsidR="00B26DB1">
          <w:rPr>
            <w:rFonts w:ascii="Times New Roman" w:hAnsi="Times New Roman" w:eastAsia="Times New Roman" w:cs="Times New Roman"/>
            <w:sz w:val="24"/>
            <w:szCs w:val="24"/>
          </w:rPr>
          <w:t>.</w:t>
        </w:r>
      </w:hyperlink>
    </w:p>
    <w:p w:rsidR="00FA60D5" w:rsidRDefault="00B26DB1" w14:paraId="5E22ADB2" w14:textId="77777777">
      <w:pPr>
        <w:widowControl w:val="0"/>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Johnson, C. R. (2017). Intellectual humility and empathy by analogy. </w:t>
      </w:r>
      <w:r>
        <w:rPr>
          <w:rFonts w:ascii="Times New Roman" w:hAnsi="Times New Roman" w:eastAsia="Times New Roman" w:cs="Times New Roman"/>
          <w:i/>
          <w:sz w:val="24"/>
          <w:szCs w:val="24"/>
        </w:rPr>
        <w:t>Topoi</w:t>
      </w:r>
      <w:r>
        <w:rPr>
          <w:rFonts w:ascii="Times New Roman" w:hAnsi="Times New Roman" w:eastAsia="Times New Roman" w:cs="Times New Roman"/>
          <w:sz w:val="24"/>
          <w:szCs w:val="24"/>
        </w:rPr>
        <w:t xml:space="preserve">, 1-8. </w:t>
      </w:r>
    </w:p>
    <w:p w:rsidR="00FA60D5" w:rsidRDefault="001A20D1" w14:paraId="736E686B" w14:textId="77777777">
      <w:pPr>
        <w:widowControl w:val="0"/>
        <w:spacing w:before="200" w:line="360" w:lineRule="auto"/>
        <w:ind w:firstLine="720"/>
        <w:rPr>
          <w:rFonts w:ascii="Times New Roman" w:hAnsi="Times New Roman" w:eastAsia="Times New Roman" w:cs="Times New Roman"/>
          <w:sz w:val="24"/>
          <w:szCs w:val="24"/>
        </w:rPr>
      </w:pPr>
      <w:hyperlink r:id="rId27">
        <w:r w:rsidR="00B26DB1">
          <w:rPr>
            <w:rFonts w:ascii="Times New Roman" w:hAnsi="Times New Roman" w:eastAsia="Times New Roman" w:cs="Times New Roman"/>
            <w:color w:val="1155CC"/>
            <w:sz w:val="24"/>
            <w:szCs w:val="24"/>
            <w:u w:val="single"/>
            <w:shd w:val="clear" w:color="auto" w:fill="FCFCFC"/>
          </w:rPr>
          <w:t>https://doi.org/10.1007/s11245-017-9453-0</w:t>
        </w:r>
      </w:hyperlink>
      <w:r w:rsidR="00B26DB1">
        <w:rPr>
          <w:rFonts w:ascii="Times New Roman" w:hAnsi="Times New Roman" w:eastAsia="Times New Roman" w:cs="Times New Roman"/>
          <w:sz w:val="24"/>
          <w:szCs w:val="24"/>
        </w:rPr>
        <w:br/>
      </w:r>
    </w:p>
    <w:p w:rsidR="00FA60D5" w:rsidRDefault="00B26DB1" w14:paraId="6DA8BA25" w14:textId="77777777">
      <w:pPr>
        <w:spacing w:before="200" w:line="360" w:lineRule="auto"/>
        <w:jc w:val="both"/>
        <w:rPr>
          <w:rFonts w:ascii="Times New Roman" w:hAnsi="Times New Roman" w:eastAsia="Times New Roman" w:cs="Times New Roman"/>
          <w:i/>
          <w:sz w:val="24"/>
          <w:szCs w:val="24"/>
        </w:rPr>
      </w:pPr>
      <w:r>
        <w:rPr>
          <w:rFonts w:ascii="Times New Roman" w:hAnsi="Times New Roman" w:eastAsia="Times New Roman" w:cs="Times New Roman"/>
          <w:sz w:val="24"/>
          <w:szCs w:val="24"/>
        </w:rPr>
        <w:t xml:space="preserve">Johnson, C., Gunn, H., Lynch, M., &amp; Sheff, N. (2017). Intellectual humility. In </w:t>
      </w:r>
      <w:r>
        <w:rPr>
          <w:rFonts w:ascii="Times New Roman" w:hAnsi="Times New Roman" w:eastAsia="Times New Roman" w:cs="Times New Roman"/>
          <w:i/>
          <w:sz w:val="24"/>
          <w:szCs w:val="24"/>
        </w:rPr>
        <w:t xml:space="preserve">Oxford </w:t>
      </w:r>
    </w:p>
    <w:p w:rsidR="00FA60D5" w:rsidRDefault="00B26DB1" w14:paraId="7CF9FF38" w14:textId="77777777">
      <w:pPr>
        <w:spacing w:before="200" w:line="360" w:lineRule="auto"/>
        <w:ind w:firstLine="720"/>
        <w:jc w:val="both"/>
        <w:rPr>
          <w:rFonts w:ascii="Times New Roman" w:hAnsi="Times New Roman" w:eastAsia="Times New Roman" w:cs="Times New Roman"/>
          <w:sz w:val="24"/>
          <w:szCs w:val="24"/>
        </w:rPr>
      </w:pPr>
      <w:r>
        <w:rPr>
          <w:rFonts w:ascii="Times New Roman" w:hAnsi="Times New Roman" w:eastAsia="Times New Roman" w:cs="Times New Roman"/>
          <w:i/>
          <w:sz w:val="24"/>
          <w:szCs w:val="24"/>
        </w:rPr>
        <w:t>bibliographies</w:t>
      </w:r>
      <w:r>
        <w:rPr>
          <w:rFonts w:ascii="Times New Roman" w:hAnsi="Times New Roman" w:eastAsia="Times New Roman" w:cs="Times New Roman"/>
          <w:sz w:val="24"/>
          <w:szCs w:val="24"/>
        </w:rPr>
        <w:t xml:space="preserve">. DOI: </w:t>
      </w:r>
      <w:hyperlink r:id="rId28">
        <w:r>
          <w:rPr>
            <w:rFonts w:ascii="Times New Roman" w:hAnsi="Times New Roman" w:eastAsia="Times New Roman" w:cs="Times New Roman"/>
            <w:color w:val="1155CC"/>
            <w:sz w:val="24"/>
            <w:szCs w:val="24"/>
            <w:u w:val="single"/>
          </w:rPr>
          <w:t>http://doi.org/10.1093/OBO/9780195396577-0347</w:t>
        </w:r>
      </w:hyperlink>
    </w:p>
    <w:p w:rsidR="00FA60D5" w:rsidP="30383331" w:rsidRDefault="00B26DB1" w14:paraId="1DC10932" w14:textId="77777777">
      <w:pPr>
        <w:spacing w:before="200" w:line="360" w:lineRule="auto"/>
        <w:jc w:val="both"/>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b w:val="1"/>
          <w:bCs w:val="1"/>
          <w:sz w:val="24"/>
          <w:szCs w:val="24"/>
          <w:lang w:val="en-US"/>
        </w:rPr>
        <w:t xml:space="preserve"> </w:t>
      </w:r>
      <w:r w:rsidRPr="30383331" w:rsidR="00B26DB1">
        <w:rPr>
          <w:rFonts w:ascii="Times New Roman" w:hAnsi="Times New Roman" w:eastAsia="Times New Roman" w:cs="Times New Roman"/>
          <w:sz w:val="24"/>
          <w:szCs w:val="24"/>
          <w:lang w:val="en-US"/>
        </w:rPr>
        <w:t xml:space="preserve">Kidd, I. J. (2016). Educating for intellectual humility. In J. Baehr (Ed.), </w:t>
      </w:r>
      <w:r w:rsidRPr="30383331" w:rsidR="00B26DB1">
        <w:rPr>
          <w:rFonts w:ascii="Times New Roman" w:hAnsi="Times New Roman" w:eastAsia="Times New Roman" w:cs="Times New Roman"/>
          <w:i w:val="1"/>
          <w:iCs w:val="1"/>
          <w:sz w:val="24"/>
          <w:szCs w:val="24"/>
          <w:lang w:val="en-US"/>
        </w:rPr>
        <w:t xml:space="preserve">Intellectual virtues and </w:t>
      </w:r>
    </w:p>
    <w:p w:rsidR="00FA60D5" w:rsidP="30383331" w:rsidRDefault="00B26DB1" w14:paraId="118A94C4" w14:textId="77777777">
      <w:pPr>
        <w:spacing w:before="200" w:line="360" w:lineRule="auto"/>
        <w:ind w:firstLine="720"/>
        <w:jc w:val="both"/>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i w:val="1"/>
          <w:iCs w:val="1"/>
          <w:sz w:val="24"/>
          <w:szCs w:val="24"/>
          <w:lang w:val="en-US"/>
        </w:rPr>
        <w:t xml:space="preserve">education: Essays in applied virtue epistemology </w:t>
      </w:r>
      <w:r w:rsidRPr="30383331" w:rsidR="00B26DB1">
        <w:rPr>
          <w:rFonts w:ascii="Times New Roman" w:hAnsi="Times New Roman" w:eastAsia="Times New Roman" w:cs="Times New Roman"/>
          <w:sz w:val="24"/>
          <w:szCs w:val="24"/>
          <w:lang w:val="en-US"/>
        </w:rPr>
        <w:t xml:space="preserve">(pp 54-71). New York, NY: Routledge. </w:t>
      </w:r>
    </w:p>
    <w:p w:rsidR="00FA60D5" w:rsidRDefault="001A20D1" w14:paraId="0C79CF44" w14:textId="77777777">
      <w:pPr>
        <w:spacing w:before="200" w:line="360" w:lineRule="auto"/>
        <w:ind w:firstLine="720"/>
        <w:jc w:val="both"/>
        <w:rPr>
          <w:rFonts w:ascii="Times New Roman" w:hAnsi="Times New Roman" w:eastAsia="Times New Roman" w:cs="Times New Roman"/>
          <w:sz w:val="24"/>
          <w:szCs w:val="24"/>
        </w:rPr>
      </w:pPr>
      <w:hyperlink r:id="rId29">
        <w:r w:rsidR="00B26DB1">
          <w:rPr>
            <w:rFonts w:ascii="Times New Roman" w:hAnsi="Times New Roman" w:eastAsia="Times New Roman" w:cs="Times New Roman"/>
            <w:color w:val="1155CC"/>
            <w:sz w:val="24"/>
            <w:szCs w:val="24"/>
            <w:u w:val="single"/>
          </w:rPr>
          <w:t>https://doi.org/10.4324/9781315714127</w:t>
        </w:r>
      </w:hyperlink>
      <w:r w:rsidR="00B26DB1">
        <w:rPr>
          <w:rFonts w:ascii="Times New Roman" w:hAnsi="Times New Roman" w:eastAsia="Times New Roman" w:cs="Times New Roman"/>
          <w:sz w:val="24"/>
          <w:szCs w:val="24"/>
        </w:rPr>
        <w:t xml:space="preserve"> </w:t>
      </w:r>
    </w:p>
    <w:p w:rsidR="00FA60D5" w:rsidP="30383331" w:rsidRDefault="00B26DB1" w14:paraId="38110FB0" w14:textId="77777777">
      <w:pPr>
        <w:spacing w:before="200" w:line="360" w:lineRule="auto"/>
        <w:rPr>
          <w:rFonts w:ascii="Times New Roman" w:hAnsi="Times New Roman" w:eastAsia="Times New Roman" w:cs="Times New Roman"/>
          <w:color w:val="222222"/>
          <w:sz w:val="24"/>
          <w:szCs w:val="24"/>
          <w:highlight w:val="white"/>
          <w:lang w:val="en-US"/>
        </w:rPr>
      </w:pPr>
      <w:r w:rsidRPr="30383331" w:rsidR="00B26DB1">
        <w:rPr>
          <w:rFonts w:ascii="Times New Roman" w:hAnsi="Times New Roman" w:eastAsia="Times New Roman" w:cs="Times New Roman"/>
          <w:sz w:val="24"/>
          <w:szCs w:val="24"/>
          <w:lang w:val="en-US"/>
        </w:rPr>
        <w:t xml:space="preserve">Lynch, M.P. (2021). Conviction and Humility. </w:t>
      </w:r>
      <w:r w:rsidRPr="30383331" w:rsidR="00B26DB1">
        <w:rPr>
          <w:rFonts w:ascii="Times New Roman" w:hAnsi="Times New Roman" w:eastAsia="Times New Roman" w:cs="Times New Roman"/>
          <w:color w:val="222222"/>
          <w:sz w:val="24"/>
          <w:szCs w:val="24"/>
          <w:highlight w:val="white"/>
          <w:lang w:val="en-US"/>
        </w:rPr>
        <w:t xml:space="preserve">In: M. Alfano, M.P. Lynch, &amp; A. Tanesini. (Eds.). </w:t>
      </w:r>
    </w:p>
    <w:p w:rsidR="00FA60D5" w:rsidRDefault="00B26DB1" w14:paraId="01939E52" w14:textId="77777777">
      <w:pPr>
        <w:spacing w:before="200" w:line="360" w:lineRule="auto"/>
        <w:ind w:firstLine="720"/>
        <w:rPr>
          <w:rFonts w:ascii="Times New Roman" w:hAnsi="Times New Roman" w:eastAsia="Times New Roman" w:cs="Times New Roman"/>
          <w:color w:val="222222"/>
          <w:sz w:val="24"/>
          <w:szCs w:val="24"/>
          <w:highlight w:val="white"/>
        </w:rPr>
      </w:pPr>
      <w:r>
        <w:rPr>
          <w:rFonts w:ascii="Times New Roman" w:hAnsi="Times New Roman" w:eastAsia="Times New Roman" w:cs="Times New Roman"/>
          <w:i/>
          <w:color w:val="222222"/>
          <w:sz w:val="24"/>
          <w:szCs w:val="24"/>
          <w:highlight w:val="white"/>
        </w:rPr>
        <w:t>The Routledge Handbook of Philosophy of Humility</w:t>
      </w:r>
      <w:r>
        <w:rPr>
          <w:rFonts w:ascii="Times New Roman" w:hAnsi="Times New Roman" w:eastAsia="Times New Roman" w:cs="Times New Roman"/>
          <w:color w:val="222222"/>
          <w:sz w:val="24"/>
          <w:szCs w:val="24"/>
          <w:highlight w:val="white"/>
        </w:rPr>
        <w:t xml:space="preserve">. (pp. 139-147). New York NY: </w:t>
      </w:r>
    </w:p>
    <w:p w:rsidR="00FA60D5" w:rsidRDefault="00B26DB1" w14:paraId="172D58ED" w14:textId="77777777">
      <w:pPr>
        <w:spacing w:before="200" w:line="360" w:lineRule="auto"/>
        <w:ind w:firstLine="720"/>
        <w:rPr>
          <w:rFonts w:ascii="Times New Roman" w:hAnsi="Times New Roman" w:eastAsia="Times New Roman" w:cs="Times New Roman"/>
          <w:color w:val="222222"/>
          <w:sz w:val="24"/>
          <w:szCs w:val="24"/>
          <w:highlight w:val="white"/>
        </w:rPr>
      </w:pPr>
      <w:r>
        <w:rPr>
          <w:rFonts w:ascii="Times New Roman" w:hAnsi="Times New Roman" w:eastAsia="Times New Roman" w:cs="Times New Roman"/>
          <w:color w:val="222222"/>
          <w:sz w:val="24"/>
          <w:szCs w:val="24"/>
          <w:highlight w:val="white"/>
        </w:rPr>
        <w:t xml:space="preserve">Routledge. </w:t>
      </w:r>
      <w:hyperlink r:id="rId30">
        <w:r>
          <w:rPr>
            <w:rFonts w:ascii="Times New Roman" w:hAnsi="Times New Roman" w:eastAsia="Times New Roman" w:cs="Times New Roman"/>
            <w:color w:val="1155CC"/>
            <w:sz w:val="24"/>
            <w:szCs w:val="24"/>
            <w:highlight w:val="white"/>
            <w:u w:val="single"/>
          </w:rPr>
          <w:t>https://doi.org/10.4324/9781351107532</w:t>
        </w:r>
      </w:hyperlink>
      <w:r>
        <w:rPr>
          <w:rFonts w:ascii="Times New Roman" w:hAnsi="Times New Roman" w:eastAsia="Times New Roman" w:cs="Times New Roman"/>
          <w:color w:val="222222"/>
          <w:sz w:val="24"/>
          <w:szCs w:val="24"/>
          <w:highlight w:val="white"/>
        </w:rPr>
        <w:t xml:space="preserve"> </w:t>
      </w:r>
    </w:p>
    <w:p w:rsidR="00FA60D5" w:rsidRDefault="00B26DB1" w14:paraId="41B94B39" w14:textId="77777777">
      <w:pPr>
        <w:spacing w:before="20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Lynch, M. P. (2019). </w:t>
      </w:r>
      <w:r>
        <w:rPr>
          <w:rFonts w:ascii="Times New Roman" w:hAnsi="Times New Roman" w:eastAsia="Times New Roman" w:cs="Times New Roman"/>
          <w:i/>
          <w:sz w:val="24"/>
          <w:szCs w:val="24"/>
        </w:rPr>
        <w:t>Know-it-all society: Truth and arrogance in political culture</w:t>
      </w:r>
      <w:r>
        <w:rPr>
          <w:rFonts w:ascii="Times New Roman" w:hAnsi="Times New Roman" w:eastAsia="Times New Roman" w:cs="Times New Roman"/>
          <w:sz w:val="24"/>
          <w:szCs w:val="24"/>
        </w:rPr>
        <w:t xml:space="preserve">. New </w:t>
      </w:r>
    </w:p>
    <w:p w:rsidR="00FA60D5" w:rsidRDefault="00B26DB1" w14:paraId="7C87A7DA" w14:textId="77777777">
      <w:pPr>
        <w:spacing w:before="200" w:line="360" w:lineRule="auto"/>
        <w:ind w:firstLine="720"/>
        <w:jc w:val="both"/>
        <w:rPr>
          <w:rFonts w:ascii="Times New Roman" w:hAnsi="Times New Roman" w:eastAsia="Times New Roman" w:cs="Times New Roman"/>
          <w:color w:val="222222"/>
          <w:sz w:val="24"/>
          <w:szCs w:val="24"/>
          <w:highlight w:val="white"/>
        </w:rPr>
      </w:pPr>
      <w:r>
        <w:rPr>
          <w:rFonts w:ascii="Times New Roman" w:hAnsi="Times New Roman" w:eastAsia="Times New Roman" w:cs="Times New Roman"/>
          <w:sz w:val="24"/>
          <w:szCs w:val="24"/>
        </w:rPr>
        <w:t>York/London: Liveright Publishing.</w:t>
      </w:r>
    </w:p>
    <w:p w:rsidR="00FA60D5" w:rsidRDefault="00B26DB1" w14:paraId="7B3F4C21"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Lynch, M. 2017 Teaching Humility in an Age of Arrogance. The Chronicle of Higher Education </w:t>
      </w:r>
    </w:p>
    <w:p w:rsidR="00FA60D5" w:rsidRDefault="00B26DB1" w14:paraId="46588A98" w14:textId="77777777">
      <w:pPr>
        <w:spacing w:before="200"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June 5, 2017 </w:t>
      </w:r>
    </w:p>
    <w:p w:rsidR="00FA60D5" w:rsidRDefault="001A20D1" w14:paraId="4DC9C5C1" w14:textId="77777777">
      <w:pPr>
        <w:spacing w:before="200" w:line="360" w:lineRule="auto"/>
        <w:ind w:left="720"/>
        <w:rPr>
          <w:rFonts w:ascii="Times New Roman" w:hAnsi="Times New Roman" w:eastAsia="Times New Roman" w:cs="Times New Roman"/>
          <w:sz w:val="24"/>
          <w:szCs w:val="24"/>
        </w:rPr>
      </w:pPr>
      <w:hyperlink r:id="rId31">
        <w:r w:rsidR="00B26DB1">
          <w:rPr>
            <w:rFonts w:ascii="Times New Roman" w:hAnsi="Times New Roman" w:eastAsia="Times New Roman" w:cs="Times New Roman"/>
            <w:color w:val="1155CC"/>
            <w:sz w:val="24"/>
            <w:szCs w:val="24"/>
            <w:u w:val="single"/>
          </w:rPr>
          <w:t>https://static1.squarespace.com/static/5ade38cf7e3c3a8e0fd03b28/t/5afc3ae788251b30fb713807/1526479592257/teaching_humility_in_an_age_of_arrogance.pdf</w:t>
        </w:r>
      </w:hyperlink>
      <w:r w:rsidR="00B26DB1">
        <w:rPr>
          <w:rFonts w:ascii="Times New Roman" w:hAnsi="Times New Roman" w:eastAsia="Times New Roman" w:cs="Times New Roman"/>
          <w:sz w:val="24"/>
          <w:szCs w:val="24"/>
        </w:rPr>
        <w:t>.</w:t>
      </w:r>
    </w:p>
    <w:p w:rsidR="00FA60D5" w:rsidP="30383331" w:rsidRDefault="00B26DB1" w14:paraId="50B46377"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Lynch, M.P., Johnson, C.P.,  Sheff, N., Gunn, H. (n.d.). Intellectual humility in public discourse: </w:t>
      </w:r>
    </w:p>
    <w:p w:rsidR="00FA60D5" w:rsidRDefault="00B26DB1" w14:paraId="3358AAB7" w14:textId="77777777">
      <w:pPr>
        <w:spacing w:before="200" w:line="360" w:lineRule="auto"/>
        <w:ind w:left="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Literature review. </w:t>
      </w:r>
      <w:hyperlink r:id="rId32">
        <w:r>
          <w:rPr>
            <w:rFonts w:ascii="Times New Roman" w:hAnsi="Times New Roman" w:eastAsia="Times New Roman" w:cs="Times New Roman"/>
            <w:color w:val="1155CC"/>
            <w:sz w:val="24"/>
            <w:szCs w:val="24"/>
            <w:u w:val="single"/>
          </w:rPr>
          <w:t>https://humilityandconviction.uconn.edu/wp-content/uploads/sites/1877/2016/09/IHPD-Literature-Review-revised.pdf</w:t>
        </w:r>
      </w:hyperlink>
      <w:r>
        <w:rPr>
          <w:rFonts w:ascii="Times New Roman" w:hAnsi="Times New Roman" w:eastAsia="Times New Roman" w:cs="Times New Roman"/>
          <w:sz w:val="24"/>
          <w:szCs w:val="24"/>
        </w:rPr>
        <w:t>.</w:t>
      </w:r>
    </w:p>
    <w:p w:rsidR="00FA60D5" w:rsidRDefault="00B26DB1" w14:paraId="6B9A0A31" w14:textId="77777777">
      <w:pPr>
        <w:spacing w:before="200" w:line="360" w:lineRule="auto"/>
        <w:jc w:val="both"/>
        <w:rPr>
          <w:rFonts w:ascii="Times New Roman" w:hAnsi="Times New Roman" w:eastAsia="Times New Roman" w:cs="Times New Roman"/>
          <w:i/>
          <w:sz w:val="24"/>
          <w:szCs w:val="24"/>
        </w:rPr>
      </w:pPr>
      <w:r>
        <w:rPr>
          <w:rFonts w:ascii="Times New Roman" w:hAnsi="Times New Roman" w:eastAsia="Times New Roman" w:cs="Times New Roman"/>
          <w:sz w:val="24"/>
          <w:szCs w:val="24"/>
        </w:rPr>
        <w:t xml:space="preserve">Paul, R. &amp; Elder, L. (2002). </w:t>
      </w:r>
      <w:r>
        <w:rPr>
          <w:rFonts w:ascii="Times New Roman" w:hAnsi="Times New Roman" w:eastAsia="Times New Roman" w:cs="Times New Roman"/>
          <w:i/>
          <w:sz w:val="24"/>
          <w:szCs w:val="24"/>
        </w:rPr>
        <w:t xml:space="preserve">Critical thinking: Tools for taking charge of your professional and </w:t>
      </w:r>
    </w:p>
    <w:p w:rsidR="00FA60D5" w:rsidRDefault="00B26DB1" w14:paraId="0F85E03B" w14:textId="77777777">
      <w:pPr>
        <w:spacing w:before="200" w:line="360" w:lineRule="auto"/>
        <w:ind w:firstLine="720"/>
        <w:jc w:val="both"/>
        <w:rPr>
          <w:rFonts w:ascii="Times New Roman" w:hAnsi="Times New Roman" w:eastAsia="Times New Roman" w:cs="Times New Roman"/>
          <w:sz w:val="24"/>
          <w:szCs w:val="24"/>
        </w:rPr>
      </w:pPr>
      <w:r>
        <w:rPr>
          <w:rFonts w:ascii="Times New Roman" w:hAnsi="Times New Roman" w:eastAsia="Times New Roman" w:cs="Times New Roman"/>
          <w:i/>
          <w:sz w:val="24"/>
          <w:szCs w:val="24"/>
        </w:rPr>
        <w:t>personal life.</w:t>
      </w:r>
      <w:r>
        <w:rPr>
          <w:rFonts w:ascii="Times New Roman" w:hAnsi="Times New Roman" w:eastAsia="Times New Roman" w:cs="Times New Roman"/>
          <w:sz w:val="24"/>
          <w:szCs w:val="24"/>
        </w:rPr>
        <w:t xml:space="preserve"> Upper Saddle River, NJ: Pearson Education.</w:t>
      </w:r>
    </w:p>
    <w:p w:rsidR="00FA60D5" w:rsidP="30383331" w:rsidRDefault="00B26DB1" w14:paraId="1DF7F69A" w14:textId="77777777">
      <w:pPr>
        <w:spacing w:before="200" w:line="360" w:lineRule="auto"/>
        <w:jc w:val="both"/>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sz w:val="24"/>
          <w:szCs w:val="24"/>
          <w:lang w:val="en-US"/>
        </w:rPr>
        <w:t xml:space="preserve">Pritchard, D. (2020). Educating for intellectual humility and conviction. </w:t>
      </w:r>
      <w:r w:rsidRPr="30383331" w:rsidR="00B26DB1">
        <w:rPr>
          <w:rFonts w:ascii="Times New Roman" w:hAnsi="Times New Roman" w:eastAsia="Times New Roman" w:cs="Times New Roman"/>
          <w:i w:val="1"/>
          <w:iCs w:val="1"/>
          <w:sz w:val="24"/>
          <w:szCs w:val="24"/>
          <w:lang w:val="en-US"/>
        </w:rPr>
        <w:t xml:space="preserve">Journal of Philosophy of </w:t>
      </w:r>
    </w:p>
    <w:p w:rsidR="00FA60D5" w:rsidRDefault="00B26DB1" w14:paraId="4CBC2A24" w14:textId="77777777">
      <w:pPr>
        <w:spacing w:before="200" w:line="360" w:lineRule="auto"/>
        <w:ind w:firstLine="720"/>
        <w:jc w:val="both"/>
        <w:rPr>
          <w:rFonts w:ascii="Times New Roman" w:hAnsi="Times New Roman" w:eastAsia="Times New Roman" w:cs="Times New Roman"/>
          <w:sz w:val="24"/>
          <w:szCs w:val="24"/>
        </w:rPr>
      </w:pPr>
      <w:r>
        <w:rPr>
          <w:rFonts w:ascii="Times New Roman" w:hAnsi="Times New Roman" w:eastAsia="Times New Roman" w:cs="Times New Roman"/>
          <w:i/>
          <w:sz w:val="24"/>
          <w:szCs w:val="24"/>
        </w:rPr>
        <w:t>Education</w:t>
      </w:r>
      <w:r>
        <w:rPr>
          <w:rFonts w:ascii="Times New Roman" w:hAnsi="Times New Roman" w:eastAsia="Times New Roman" w:cs="Times New Roman"/>
          <w:sz w:val="24"/>
          <w:szCs w:val="24"/>
        </w:rPr>
        <w:t xml:space="preserve">, </w:t>
      </w:r>
      <w:r>
        <w:rPr>
          <w:rFonts w:ascii="Times New Roman" w:hAnsi="Times New Roman" w:eastAsia="Times New Roman" w:cs="Times New Roman"/>
          <w:i/>
          <w:sz w:val="24"/>
          <w:szCs w:val="24"/>
        </w:rPr>
        <w:t>54</w:t>
      </w:r>
      <w:r>
        <w:rPr>
          <w:rFonts w:ascii="Times New Roman" w:hAnsi="Times New Roman" w:eastAsia="Times New Roman" w:cs="Times New Roman"/>
          <w:sz w:val="24"/>
          <w:szCs w:val="24"/>
        </w:rPr>
        <w:t>(2), 398-409.</w:t>
      </w:r>
      <w:hyperlink r:id="rId33">
        <w:r>
          <w:rPr>
            <w:rFonts w:ascii="Times New Roman" w:hAnsi="Times New Roman" w:eastAsia="Times New Roman" w:cs="Times New Roman"/>
            <w:sz w:val="24"/>
            <w:szCs w:val="24"/>
          </w:rPr>
          <w:t xml:space="preserve"> </w:t>
        </w:r>
      </w:hyperlink>
      <w:hyperlink r:id="rId34">
        <w:r>
          <w:rPr>
            <w:rFonts w:ascii="Times New Roman" w:hAnsi="Times New Roman" w:eastAsia="Times New Roman" w:cs="Times New Roman"/>
            <w:sz w:val="24"/>
            <w:szCs w:val="24"/>
            <w:u w:val="single"/>
          </w:rPr>
          <w:t>https://doi.org/10.1111/1467-9752.12422</w:t>
        </w:r>
      </w:hyperlink>
    </w:p>
    <w:p w:rsidR="00FA60D5" w:rsidRDefault="00B26DB1" w14:paraId="69A989C2" w14:textId="77777777">
      <w:pPr>
        <w:spacing w:before="20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Porto, M and Yulita, L. (2017) Language and intercultural citizenship education for a culture of </w:t>
      </w:r>
    </w:p>
    <w:p w:rsidR="00FA60D5" w:rsidP="30383331" w:rsidRDefault="00B26DB1" w14:paraId="2816B9C9" w14:textId="77777777">
      <w:pPr>
        <w:spacing w:before="200" w:line="360" w:lineRule="auto"/>
        <w:ind w:left="720"/>
        <w:jc w:val="both"/>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peace: the Malvinas/Falklands Project. In: Byram, M., Golubeva, I., Han, H. and Wagner, M. (eds) </w:t>
      </w:r>
      <w:r w:rsidRPr="30383331" w:rsidR="00B26DB1">
        <w:rPr>
          <w:rFonts w:ascii="Times New Roman" w:hAnsi="Times New Roman" w:eastAsia="Times New Roman" w:cs="Times New Roman"/>
          <w:i w:val="1"/>
          <w:iCs w:val="1"/>
          <w:sz w:val="24"/>
          <w:szCs w:val="24"/>
          <w:lang w:val="en-US"/>
        </w:rPr>
        <w:t>From Principles to Practice in Education for Intercultural Citizenship.</w:t>
      </w:r>
      <w:r w:rsidRPr="30383331" w:rsidR="00B26DB1">
        <w:rPr>
          <w:rFonts w:ascii="Times New Roman" w:hAnsi="Times New Roman" w:eastAsia="Times New Roman" w:cs="Times New Roman"/>
          <w:sz w:val="24"/>
          <w:szCs w:val="24"/>
          <w:lang w:val="en-US"/>
        </w:rPr>
        <w:t xml:space="preserve"> Blue Ridge Summit: Multilingual Matters.  pp. 199-224</w:t>
      </w:r>
    </w:p>
    <w:p w:rsidR="00FA60D5" w:rsidP="30383331" w:rsidRDefault="00B26DB1" w14:paraId="0AE2137D" w14:textId="77777777">
      <w:pPr>
        <w:spacing w:before="200" w:line="360" w:lineRule="auto"/>
        <w:jc w:val="both"/>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Porto. M., Daryai-Hansen, P., Arcuri, M. E. and Schifler, K. (2017) Green Kidz: Young learners </w:t>
      </w:r>
    </w:p>
    <w:p w:rsidR="00FA60D5" w:rsidRDefault="00B26DB1" w14:paraId="1E12501E" w14:textId="77777777">
      <w:pPr>
        <w:spacing w:before="200" w:line="360" w:lineRule="auto"/>
        <w:ind w:left="72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engage in intercultural environmental citizenship in English language classroom in Argentina and Denmark. In: Byram, M., Golubeva, I., Han, H. and Wagner, M. (eds) </w:t>
      </w:r>
      <w:r>
        <w:rPr>
          <w:rFonts w:ascii="Times New Roman" w:hAnsi="Times New Roman" w:eastAsia="Times New Roman" w:cs="Times New Roman"/>
          <w:i/>
          <w:sz w:val="24"/>
          <w:szCs w:val="24"/>
        </w:rPr>
        <w:t>From Principles to Practice in Education for Intercultural Citizenship.</w:t>
      </w:r>
      <w:r>
        <w:rPr>
          <w:rFonts w:ascii="Times New Roman" w:hAnsi="Times New Roman" w:eastAsia="Times New Roman" w:cs="Times New Roman"/>
          <w:sz w:val="24"/>
          <w:szCs w:val="24"/>
        </w:rPr>
        <w:t xml:space="preserve"> Blue Ridge Summit: Multilingual Matters. pp. 131-158.</w:t>
      </w:r>
    </w:p>
    <w:p w:rsidR="00FA60D5" w:rsidP="30383331" w:rsidRDefault="00B26DB1" w14:paraId="3F986118" w14:textId="77777777">
      <w:pPr>
        <w:spacing w:before="200" w:line="360" w:lineRule="auto"/>
        <w:rPr>
          <w:rFonts w:ascii="Times New Roman" w:hAnsi="Times New Roman" w:eastAsia="Times New Roman" w:cs="Times New Roman"/>
          <w:color w:val="222222"/>
          <w:sz w:val="24"/>
          <w:szCs w:val="24"/>
          <w:highlight w:val="white"/>
          <w:lang w:val="en-US"/>
        </w:rPr>
      </w:pPr>
      <w:r w:rsidRPr="30383331" w:rsidR="00B26DB1">
        <w:rPr>
          <w:rFonts w:ascii="Times New Roman" w:hAnsi="Times New Roman" w:eastAsia="Times New Roman" w:cs="Times New Roman"/>
          <w:color w:val="222222"/>
          <w:sz w:val="24"/>
          <w:szCs w:val="24"/>
          <w:highlight w:val="white"/>
          <w:lang w:val="en-US"/>
        </w:rPr>
        <w:t xml:space="preserve">Skitka, L. J., Hanson, B. E., Morgan, G. S., &amp; Wisneski, D. C. (2021). The psychology of moral </w:t>
      </w:r>
    </w:p>
    <w:p w:rsidR="00FA60D5" w:rsidRDefault="00B26DB1" w14:paraId="53D1B986" w14:textId="77777777">
      <w:pPr>
        <w:spacing w:before="200" w:line="360" w:lineRule="auto"/>
        <w:ind w:left="720"/>
        <w:rPr>
          <w:rFonts w:ascii="Times New Roman" w:hAnsi="Times New Roman" w:eastAsia="Times New Roman" w:cs="Times New Roman"/>
          <w:sz w:val="24"/>
          <w:szCs w:val="24"/>
        </w:rPr>
      </w:pPr>
      <w:r>
        <w:rPr>
          <w:rFonts w:ascii="Times New Roman" w:hAnsi="Times New Roman" w:eastAsia="Times New Roman" w:cs="Times New Roman"/>
          <w:color w:val="222222"/>
          <w:sz w:val="24"/>
          <w:szCs w:val="24"/>
          <w:highlight w:val="white"/>
        </w:rPr>
        <w:t xml:space="preserve">conviction. </w:t>
      </w:r>
      <w:r>
        <w:rPr>
          <w:rFonts w:ascii="Times New Roman" w:hAnsi="Times New Roman" w:eastAsia="Times New Roman" w:cs="Times New Roman"/>
          <w:i/>
          <w:color w:val="222222"/>
          <w:sz w:val="24"/>
          <w:szCs w:val="24"/>
          <w:highlight w:val="white"/>
        </w:rPr>
        <w:t>Annual Review of Psychology</w:t>
      </w:r>
      <w:r>
        <w:rPr>
          <w:rFonts w:ascii="Times New Roman" w:hAnsi="Times New Roman" w:eastAsia="Times New Roman" w:cs="Times New Roman"/>
          <w:color w:val="222222"/>
          <w:sz w:val="24"/>
          <w:szCs w:val="24"/>
          <w:highlight w:val="white"/>
        </w:rPr>
        <w:t xml:space="preserve">, </w:t>
      </w:r>
      <w:r>
        <w:rPr>
          <w:rFonts w:ascii="Times New Roman" w:hAnsi="Times New Roman" w:eastAsia="Times New Roman" w:cs="Times New Roman"/>
          <w:i/>
          <w:color w:val="222222"/>
          <w:sz w:val="24"/>
          <w:szCs w:val="24"/>
          <w:highlight w:val="white"/>
        </w:rPr>
        <w:t>72</w:t>
      </w:r>
      <w:r>
        <w:rPr>
          <w:rFonts w:ascii="Times New Roman" w:hAnsi="Times New Roman" w:eastAsia="Times New Roman" w:cs="Times New Roman"/>
          <w:color w:val="222222"/>
          <w:sz w:val="24"/>
          <w:szCs w:val="24"/>
          <w:highlight w:val="white"/>
        </w:rPr>
        <w:t>, 347-366.</w:t>
      </w:r>
    </w:p>
    <w:p w:rsidR="00FA60D5" w:rsidRDefault="00B26DB1" w14:paraId="2FC7216C" w14:textId="77777777">
      <w:pPr>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UNESCO (2020) Intercultural dialogue during the pandemic: impact and response.</w:t>
      </w:r>
    </w:p>
    <w:p w:rsidR="00FA60D5" w:rsidRDefault="00B26DB1" w14:paraId="0559FA9D" w14:textId="77777777">
      <w:pPr>
        <w:spacing w:before="200" w:line="360" w:lineRule="auto"/>
        <w:ind w:firstLine="720"/>
        <w:rPr>
          <w:rFonts w:ascii="Times New Roman" w:hAnsi="Times New Roman" w:eastAsia="Times New Roman" w:cs="Times New Roman"/>
          <w:sz w:val="24"/>
          <w:szCs w:val="24"/>
        </w:rPr>
      </w:pPr>
      <w:r>
        <w:rPr>
          <w:rFonts w:ascii="Times New Roman" w:hAnsi="Times New Roman" w:eastAsia="Times New Roman" w:cs="Times New Roman"/>
          <w:sz w:val="24"/>
          <w:szCs w:val="24"/>
        </w:rPr>
        <w:t>https://en.unesco.org/news/intercultural-dialogue-during-pandemic-impact-and-response</w:t>
      </w:r>
    </w:p>
    <w:p w:rsidR="00FA60D5" w:rsidRDefault="00B26DB1" w14:paraId="67F00C5C" w14:textId="77777777">
      <w:pPr>
        <w:shd w:val="clear" w:color="auto" w:fill="FFFFFF"/>
        <w:spacing w:before="200" w:line="36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Wagner, M, Álvarez Valencia, J.A. (2022). Developing Intercultural Citizenship and Intellectual </w:t>
      </w:r>
    </w:p>
    <w:p w:rsidR="00FA60D5" w:rsidP="30383331" w:rsidRDefault="00B26DB1" w14:paraId="7F170F84" w14:textId="77777777">
      <w:pPr>
        <w:shd w:val="clear" w:color="auto" w:fill="FFFFFF" w:themeFill="background1"/>
        <w:spacing w:before="200" w:line="360" w:lineRule="auto"/>
        <w:ind w:left="720"/>
        <w:rPr>
          <w:rFonts w:ascii="Times New Roman" w:hAnsi="Times New Roman" w:eastAsia="Times New Roman" w:cs="Times New Roman"/>
          <w:color w:val="C7511F"/>
          <w:sz w:val="24"/>
          <w:szCs w:val="24"/>
          <w:u w:val="single"/>
          <w:lang w:val="en-US"/>
        </w:rPr>
      </w:pPr>
      <w:r w:rsidRPr="30383331" w:rsidR="00B26DB1">
        <w:rPr>
          <w:rFonts w:ascii="Times New Roman" w:hAnsi="Times New Roman" w:eastAsia="Times New Roman" w:cs="Times New Roman"/>
          <w:sz w:val="24"/>
          <w:szCs w:val="24"/>
          <w:lang w:val="en-US"/>
        </w:rPr>
        <w:t xml:space="preserve">Humility in High School German. In McConachy, T., Golubeva, I., &amp; Wagner, M. Intercultural Learning in Language Education and Beyond: Evolving Concepts, Perspectives and Practices. Blue Ridge Summit: </w:t>
      </w:r>
      <w:r w:rsidRPr="30383331" w:rsidR="00B26DB1">
        <w:rPr>
          <w:rFonts w:ascii="Times New Roman" w:hAnsi="Times New Roman" w:eastAsia="Times New Roman" w:cs="Times New Roman"/>
          <w:sz w:val="24"/>
          <w:szCs w:val="24"/>
          <w:highlight w:val="white"/>
          <w:lang w:val="en-US"/>
        </w:rPr>
        <w:t xml:space="preserve">Multilingual Matters. </w:t>
      </w:r>
    </w:p>
    <w:p w:rsidR="00FA60D5" w:rsidRDefault="00FA60D5" w14:paraId="32BB42F3" w14:textId="77777777">
      <w:pPr>
        <w:shd w:val="clear" w:color="auto" w:fill="FFFFFF"/>
        <w:spacing w:before="200" w:line="360" w:lineRule="auto"/>
        <w:ind w:firstLine="720"/>
        <w:rPr>
          <w:rFonts w:ascii="Times New Roman" w:hAnsi="Times New Roman" w:eastAsia="Times New Roman" w:cs="Times New Roman"/>
          <w:sz w:val="24"/>
          <w:szCs w:val="24"/>
        </w:rPr>
      </w:pPr>
    </w:p>
    <w:p w:rsidR="00FA60D5" w:rsidP="30383331" w:rsidRDefault="00B26DB1" w14:paraId="550431D4" w14:textId="77777777">
      <w:pPr>
        <w:spacing w:before="200" w:line="360" w:lineRule="auto"/>
        <w:jc w:val="both"/>
        <w:rPr>
          <w:rFonts w:ascii="Times New Roman" w:hAnsi="Times New Roman" w:eastAsia="Times New Roman" w:cs="Times New Roman"/>
          <w:i w:val="1"/>
          <w:iCs w:val="1"/>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Wagner, M., Cardetti, F., &amp; Byram, M. (2019a, April 4-5). </w:t>
      </w:r>
      <w:r w:rsidRPr="30383331" w:rsidR="00B26DB1">
        <w:rPr>
          <w:rFonts w:ascii="Times New Roman" w:hAnsi="Times New Roman" w:eastAsia="Times New Roman" w:cs="Times New Roman"/>
          <w:i w:val="1"/>
          <w:iCs w:val="1"/>
          <w:sz w:val="24"/>
          <w:szCs w:val="24"/>
          <w:highlight w:val="white"/>
          <w:lang w:val="en-US"/>
        </w:rPr>
        <w:t xml:space="preserve">The role of intellectual humility in </w:t>
      </w:r>
    </w:p>
    <w:p w:rsidR="00FA60D5" w:rsidRDefault="00B26DB1" w14:paraId="1CF86BC8" w14:textId="77777777">
      <w:pPr>
        <w:spacing w:before="200" w:line="360" w:lineRule="auto"/>
        <w:ind w:left="720"/>
        <w:jc w:val="both"/>
        <w:rPr>
          <w:rFonts w:ascii="Times New Roman" w:hAnsi="Times New Roman" w:eastAsia="Times New Roman" w:cs="Times New Roman"/>
          <w:sz w:val="24"/>
          <w:szCs w:val="24"/>
          <w:highlight w:val="white"/>
        </w:rPr>
      </w:pPr>
      <w:r>
        <w:rPr>
          <w:rFonts w:ascii="Times New Roman" w:hAnsi="Times New Roman" w:eastAsia="Times New Roman" w:cs="Times New Roman"/>
          <w:i/>
          <w:sz w:val="24"/>
          <w:szCs w:val="24"/>
          <w:highlight w:val="white"/>
        </w:rPr>
        <w:t xml:space="preserve">intercultural citizenship and vice versa </w:t>
      </w:r>
      <w:r>
        <w:rPr>
          <w:rFonts w:ascii="Times New Roman" w:hAnsi="Times New Roman" w:eastAsia="Times New Roman" w:cs="Times New Roman"/>
          <w:sz w:val="24"/>
          <w:szCs w:val="24"/>
          <w:highlight w:val="white"/>
        </w:rPr>
        <w:t>[Presentation]. Humility and Conviction Capstone Conference. Storrs, CT</w:t>
      </w:r>
    </w:p>
    <w:p w:rsidR="00FA60D5" w:rsidP="30383331" w:rsidRDefault="00B26DB1" w14:paraId="014BA25D" w14:textId="77777777">
      <w:pPr>
        <w:spacing w:before="200" w:line="360" w:lineRule="auto"/>
        <w:jc w:val="both"/>
        <w:rPr>
          <w:rFonts w:ascii="Times New Roman" w:hAnsi="Times New Roman" w:eastAsia="Times New Roman" w:cs="Times New Roman"/>
          <w:i w:val="1"/>
          <w:iCs w:val="1"/>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Wagner, M., Cardetti, F., &amp; Byram, M. (2019b). </w:t>
      </w:r>
      <w:r w:rsidRPr="30383331" w:rsidR="00B26DB1">
        <w:rPr>
          <w:rFonts w:ascii="Times New Roman" w:hAnsi="Times New Roman" w:eastAsia="Times New Roman" w:cs="Times New Roman"/>
          <w:i w:val="1"/>
          <w:iCs w:val="1"/>
          <w:sz w:val="24"/>
          <w:szCs w:val="24"/>
          <w:highlight w:val="white"/>
          <w:lang w:val="en-US"/>
        </w:rPr>
        <w:t xml:space="preserve">Teaching intercultural citizenship across the </w:t>
      </w:r>
    </w:p>
    <w:p w:rsidR="00FA60D5" w:rsidRDefault="00B26DB1" w14:paraId="4DA080EF" w14:textId="77777777">
      <w:pPr>
        <w:spacing w:before="200" w:line="360" w:lineRule="auto"/>
        <w:ind w:firstLine="720"/>
        <w:jc w:val="both"/>
        <w:rPr>
          <w:rFonts w:ascii="Times New Roman" w:hAnsi="Times New Roman" w:eastAsia="Times New Roman" w:cs="Times New Roman"/>
          <w:sz w:val="24"/>
          <w:szCs w:val="24"/>
          <w:highlight w:val="white"/>
        </w:rPr>
      </w:pPr>
      <w:r>
        <w:rPr>
          <w:rFonts w:ascii="Times New Roman" w:hAnsi="Times New Roman" w:eastAsia="Times New Roman" w:cs="Times New Roman"/>
          <w:i/>
          <w:sz w:val="24"/>
          <w:szCs w:val="24"/>
          <w:highlight w:val="white"/>
        </w:rPr>
        <w:t>curriculum</w:t>
      </w:r>
      <w:r>
        <w:rPr>
          <w:rFonts w:ascii="Times New Roman" w:hAnsi="Times New Roman" w:eastAsia="Times New Roman" w:cs="Times New Roman"/>
          <w:sz w:val="24"/>
          <w:szCs w:val="24"/>
          <w:highlight w:val="white"/>
        </w:rPr>
        <w:t>. Alexandria, VA: American Council on the Teaching of Foreign Languages.</w:t>
      </w:r>
    </w:p>
    <w:p w:rsidR="00FA60D5" w:rsidP="30383331" w:rsidRDefault="00B26DB1" w14:paraId="217F1EAE" w14:textId="77777777">
      <w:pPr>
        <w:spacing w:before="200" w:line="360" w:lineRule="auto"/>
        <w:jc w:val="both"/>
        <w:rPr>
          <w:rFonts w:ascii="Times New Roman" w:hAnsi="Times New Roman" w:eastAsia="Times New Roman" w:cs="Times New Roman"/>
          <w:i w:val="1"/>
          <w:iCs w:val="1"/>
          <w:sz w:val="24"/>
          <w:szCs w:val="24"/>
          <w:lang w:val="en-US"/>
        </w:rPr>
      </w:pPr>
      <w:r w:rsidRPr="30383331" w:rsidR="00B26DB1">
        <w:rPr>
          <w:rFonts w:ascii="Times New Roman" w:hAnsi="Times New Roman" w:eastAsia="Times New Roman" w:cs="Times New Roman"/>
          <w:sz w:val="24"/>
          <w:szCs w:val="24"/>
          <w:lang w:val="en-US"/>
        </w:rPr>
        <w:t xml:space="preserve">Wagner, M., Perugini, D., &amp; Byram, M.  (Eds.). (2018). </w:t>
      </w:r>
      <w:r w:rsidRPr="30383331" w:rsidR="00B26DB1">
        <w:rPr>
          <w:rFonts w:ascii="Times New Roman" w:hAnsi="Times New Roman" w:eastAsia="Times New Roman" w:cs="Times New Roman"/>
          <w:i w:val="1"/>
          <w:iCs w:val="1"/>
          <w:sz w:val="24"/>
          <w:szCs w:val="24"/>
          <w:lang w:val="en-US"/>
        </w:rPr>
        <w:t xml:space="preserve">Teaching intercultural competence </w:t>
      </w:r>
    </w:p>
    <w:p w:rsidR="00FA60D5" w:rsidP="30383331" w:rsidRDefault="00B26DB1" w14:paraId="24C8AD96" w14:textId="77777777">
      <w:pPr>
        <w:spacing w:before="200" w:line="360" w:lineRule="auto"/>
        <w:ind w:left="720"/>
        <w:jc w:val="both"/>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i w:val="1"/>
          <w:iCs w:val="1"/>
          <w:sz w:val="24"/>
          <w:szCs w:val="24"/>
          <w:lang w:val="en-US"/>
        </w:rPr>
        <w:t>across the age range : From theory to practice</w:t>
      </w:r>
      <w:r w:rsidRPr="30383331" w:rsidR="00B26DB1">
        <w:rPr>
          <w:rFonts w:ascii="Times New Roman" w:hAnsi="Times New Roman" w:eastAsia="Times New Roman" w:cs="Times New Roman"/>
          <w:sz w:val="24"/>
          <w:szCs w:val="24"/>
          <w:lang w:val="en-US"/>
        </w:rPr>
        <w:t xml:space="preserve">. Blue Ridge Summit: </w:t>
      </w:r>
      <w:r w:rsidRPr="30383331" w:rsidR="00B26DB1">
        <w:rPr>
          <w:rFonts w:ascii="Times New Roman" w:hAnsi="Times New Roman" w:eastAsia="Times New Roman" w:cs="Times New Roman"/>
          <w:sz w:val="24"/>
          <w:szCs w:val="24"/>
          <w:highlight w:val="white"/>
          <w:lang w:val="en-US"/>
        </w:rPr>
        <w:t xml:space="preserve">Multilingual Matters. </w:t>
      </w:r>
      <w:hyperlink r:id="Rdd5b28fa7bd44efe">
        <w:r w:rsidRPr="30383331" w:rsidR="00B26DB1">
          <w:rPr>
            <w:rFonts w:ascii="Times New Roman" w:hAnsi="Times New Roman" w:eastAsia="Times New Roman" w:cs="Times New Roman"/>
            <w:color w:val="1155CC"/>
            <w:sz w:val="24"/>
            <w:szCs w:val="24"/>
            <w:highlight w:val="white"/>
            <w:u w:val="single"/>
            <w:lang w:val="en-US"/>
          </w:rPr>
          <w:t>http://dx.doi.org/10.21832/WAGNER8903</w:t>
        </w:r>
      </w:hyperlink>
      <w:r w:rsidRPr="30383331" w:rsidR="00B26DB1">
        <w:rPr>
          <w:rFonts w:ascii="Times New Roman" w:hAnsi="Times New Roman" w:eastAsia="Times New Roman" w:cs="Times New Roman"/>
          <w:sz w:val="24"/>
          <w:szCs w:val="24"/>
          <w:highlight w:val="white"/>
          <w:lang w:val="en-US"/>
        </w:rPr>
        <w:t xml:space="preserve"> </w:t>
      </w:r>
    </w:p>
    <w:p w:rsidR="00FA60D5" w:rsidRDefault="00B26DB1" w14:paraId="41B82C0F" w14:textId="77777777">
      <w:pPr>
        <w:spacing w:before="200" w:line="360" w:lineRule="auto"/>
        <w:jc w:val="both"/>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Wallace, D. and Tamborello-Noble, J. (2018) Diverse perspectives of the immigrant experience. </w:t>
      </w:r>
    </w:p>
    <w:p w:rsidR="00FA60D5" w:rsidP="30383331" w:rsidRDefault="00B26DB1" w14:paraId="517F09C0" w14:textId="77777777">
      <w:pPr>
        <w:spacing w:before="200" w:line="360" w:lineRule="auto"/>
        <w:ind w:left="720"/>
        <w:jc w:val="both"/>
        <w:rPr>
          <w:rFonts w:ascii="Times New Roman" w:hAnsi="Times New Roman" w:eastAsia="Times New Roman" w:cs="Times New Roman"/>
          <w:sz w:val="24"/>
          <w:szCs w:val="24"/>
          <w:highlight w:val="white"/>
          <w:lang w:val="en-US"/>
        </w:rPr>
      </w:pPr>
      <w:r w:rsidRPr="30383331" w:rsidR="00B26DB1">
        <w:rPr>
          <w:rFonts w:ascii="Times New Roman" w:hAnsi="Times New Roman" w:eastAsia="Times New Roman" w:cs="Times New Roman"/>
          <w:sz w:val="24"/>
          <w:szCs w:val="24"/>
          <w:highlight w:val="white"/>
          <w:lang w:val="en-US"/>
        </w:rPr>
        <w:t xml:space="preserve">In: </w:t>
      </w:r>
      <w:r w:rsidRPr="30383331" w:rsidR="00B26DB1">
        <w:rPr>
          <w:rFonts w:ascii="Times New Roman" w:hAnsi="Times New Roman" w:eastAsia="Times New Roman" w:cs="Times New Roman"/>
          <w:sz w:val="24"/>
          <w:szCs w:val="24"/>
          <w:lang w:val="en-US"/>
        </w:rPr>
        <w:t xml:space="preserve">Wagner, M., Perugini, D., &amp; Byram, M.  (Eds.). (2018). </w:t>
      </w:r>
      <w:r w:rsidRPr="30383331" w:rsidR="00B26DB1">
        <w:rPr>
          <w:rFonts w:ascii="Times New Roman" w:hAnsi="Times New Roman" w:eastAsia="Times New Roman" w:cs="Times New Roman"/>
          <w:i w:val="1"/>
          <w:iCs w:val="1"/>
          <w:sz w:val="24"/>
          <w:szCs w:val="24"/>
          <w:lang w:val="en-US"/>
        </w:rPr>
        <w:t>Teaching intercultural competence across the age range: From theory to practice</w:t>
      </w:r>
      <w:r w:rsidRPr="30383331" w:rsidR="00B26DB1">
        <w:rPr>
          <w:rFonts w:ascii="Times New Roman" w:hAnsi="Times New Roman" w:eastAsia="Times New Roman" w:cs="Times New Roman"/>
          <w:sz w:val="24"/>
          <w:szCs w:val="24"/>
          <w:lang w:val="en-US"/>
        </w:rPr>
        <w:t xml:space="preserve">. Blue Ridge Summit: </w:t>
      </w:r>
      <w:r w:rsidRPr="30383331" w:rsidR="00B26DB1">
        <w:rPr>
          <w:rFonts w:ascii="Times New Roman" w:hAnsi="Times New Roman" w:eastAsia="Times New Roman" w:cs="Times New Roman"/>
          <w:sz w:val="24"/>
          <w:szCs w:val="24"/>
          <w:highlight w:val="white"/>
          <w:lang w:val="en-US"/>
        </w:rPr>
        <w:t xml:space="preserve">Multilingual Matters. pp. 94-112. </w:t>
      </w:r>
      <w:hyperlink r:id="Rb41e87dbd73e4877">
        <w:r w:rsidRPr="30383331" w:rsidR="00B26DB1">
          <w:rPr>
            <w:rFonts w:ascii="Times New Roman" w:hAnsi="Times New Roman" w:eastAsia="Times New Roman" w:cs="Times New Roman"/>
            <w:color w:val="1155CC"/>
            <w:sz w:val="24"/>
            <w:szCs w:val="24"/>
            <w:highlight w:val="white"/>
            <w:u w:val="single"/>
            <w:lang w:val="en-US"/>
          </w:rPr>
          <w:t>https://doi.org/10.21832/9781783098910-008</w:t>
        </w:r>
      </w:hyperlink>
      <w:r w:rsidRPr="30383331" w:rsidR="00B26DB1">
        <w:rPr>
          <w:rFonts w:ascii="Times New Roman" w:hAnsi="Times New Roman" w:eastAsia="Times New Roman" w:cs="Times New Roman"/>
          <w:sz w:val="24"/>
          <w:szCs w:val="24"/>
          <w:highlight w:val="white"/>
          <w:lang w:val="en-US"/>
        </w:rPr>
        <w:t xml:space="preserve"> </w:t>
      </w:r>
    </w:p>
    <w:p w:rsidR="00FA60D5" w:rsidRDefault="00B26DB1" w14:paraId="11A5DD79" w14:textId="77777777">
      <w:pPr>
        <w:spacing w:before="200" w:line="360" w:lineRule="auto"/>
        <w:rPr>
          <w:rFonts w:ascii="Times New Roman" w:hAnsi="Times New Roman" w:eastAsia="Times New Roman" w:cs="Times New Roman"/>
          <w:sz w:val="24"/>
          <w:szCs w:val="24"/>
          <w:highlight w:val="white"/>
        </w:rPr>
      </w:pPr>
      <w:r>
        <w:rPr>
          <w:rFonts w:ascii="Times New Roman" w:hAnsi="Times New Roman" w:eastAsia="Times New Roman" w:cs="Times New Roman"/>
          <w:sz w:val="24"/>
          <w:szCs w:val="24"/>
          <w:highlight w:val="white"/>
        </w:rPr>
        <w:t xml:space="preserve">Watson, L. (2021). ‘Knowledge is Power’: Barriers to intellectual humility in the classroom. In </w:t>
      </w:r>
    </w:p>
    <w:p w:rsidR="00FA60D5" w:rsidP="30383331" w:rsidRDefault="00B26DB1" w14:paraId="232E32D1" w14:textId="77777777">
      <w:pPr>
        <w:spacing w:before="200" w:line="360" w:lineRule="auto"/>
        <w:ind w:left="720"/>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highlight w:val="white"/>
          <w:lang w:val="en-US"/>
        </w:rPr>
        <w:t xml:space="preserve">M. Alfano, M.P. Lynch &amp; A. Tanesini (Eds). </w:t>
      </w:r>
      <w:r w:rsidRPr="30383331" w:rsidR="00B26DB1">
        <w:rPr>
          <w:rFonts w:ascii="Times New Roman" w:hAnsi="Times New Roman" w:eastAsia="Times New Roman" w:cs="Times New Roman"/>
          <w:i w:val="1"/>
          <w:iCs w:val="1"/>
          <w:sz w:val="24"/>
          <w:szCs w:val="24"/>
          <w:highlight w:val="white"/>
          <w:lang w:val="en-US"/>
        </w:rPr>
        <w:t xml:space="preserve">The Routledge handbook </w:t>
      </w:r>
      <w:r w:rsidRPr="30383331" w:rsidR="00B26DB1">
        <w:rPr>
          <w:rFonts w:ascii="Times New Roman" w:hAnsi="Times New Roman" w:eastAsia="Times New Roman" w:cs="Times New Roman"/>
          <w:i w:val="1"/>
          <w:iCs w:val="1"/>
          <w:sz w:val="24"/>
          <w:szCs w:val="24"/>
          <w:lang w:val="en-US"/>
        </w:rPr>
        <w:t xml:space="preserve">of the philosophy of </w:t>
      </w:r>
      <w:r w:rsidRPr="30383331" w:rsidR="00B26DB1">
        <w:rPr>
          <w:rFonts w:ascii="Times New Roman" w:hAnsi="Times New Roman" w:eastAsia="Times New Roman" w:cs="Times New Roman"/>
          <w:i w:val="1"/>
          <w:iCs w:val="1"/>
          <w:sz w:val="24"/>
          <w:szCs w:val="24"/>
          <w:highlight w:val="white"/>
          <w:lang w:val="en-US"/>
        </w:rPr>
        <w:t>humility</w:t>
      </w:r>
      <w:r w:rsidRPr="30383331" w:rsidR="00B26DB1">
        <w:rPr>
          <w:rFonts w:ascii="Times New Roman" w:hAnsi="Times New Roman" w:eastAsia="Times New Roman" w:cs="Times New Roman"/>
          <w:sz w:val="24"/>
          <w:szCs w:val="24"/>
          <w:highlight w:val="white"/>
          <w:lang w:val="en-US"/>
        </w:rPr>
        <w:t xml:space="preserve"> (pp. 439-449). Routledge. </w:t>
      </w:r>
      <w:hyperlink r:id="R2f65531273714ae6">
        <w:r w:rsidRPr="30383331" w:rsidR="00B26DB1">
          <w:rPr>
            <w:rFonts w:ascii="Times New Roman" w:hAnsi="Times New Roman" w:eastAsia="Times New Roman" w:cs="Times New Roman"/>
            <w:color w:val="1155CC"/>
            <w:sz w:val="24"/>
            <w:szCs w:val="24"/>
            <w:highlight w:val="white"/>
            <w:u w:val="single"/>
            <w:lang w:val="en-US"/>
          </w:rPr>
          <w:t>https://doi.org/10.4324/9781351107532</w:t>
        </w:r>
      </w:hyperlink>
      <w:r w:rsidRPr="30383331" w:rsidR="00B26DB1">
        <w:rPr>
          <w:rFonts w:ascii="Times New Roman" w:hAnsi="Times New Roman" w:eastAsia="Times New Roman" w:cs="Times New Roman"/>
          <w:sz w:val="24"/>
          <w:szCs w:val="24"/>
          <w:highlight w:val="white"/>
          <w:lang w:val="en-US"/>
        </w:rPr>
        <w:t xml:space="preserve"> </w:t>
      </w:r>
    </w:p>
    <w:p w:rsidR="00FA60D5" w:rsidP="30383331" w:rsidRDefault="00B26DB1" w14:paraId="3E6036D2" w14:textId="77777777">
      <w:pPr>
        <w:spacing w:before="200" w:line="360" w:lineRule="auto"/>
        <w:jc w:val="both"/>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 xml:space="preserve">Whitcomb, D., Battaly, H., Baehr, J., &amp; Howard‐Snyder, D. (2017), Intellectual humility: </w:t>
      </w:r>
    </w:p>
    <w:p w:rsidR="00FA60D5" w:rsidRDefault="00B26DB1" w14:paraId="0C23E74A" w14:textId="77777777">
      <w:pPr>
        <w:spacing w:before="200" w:line="360" w:lineRule="auto"/>
        <w:ind w:left="72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Owning our limitations. </w:t>
      </w:r>
      <w:r>
        <w:rPr>
          <w:rFonts w:ascii="Times New Roman" w:hAnsi="Times New Roman" w:eastAsia="Times New Roman" w:cs="Times New Roman"/>
          <w:i/>
          <w:sz w:val="24"/>
          <w:szCs w:val="24"/>
        </w:rPr>
        <w:t>Philosophy and Phenomenological Research,</w:t>
      </w:r>
      <w:r>
        <w:rPr>
          <w:rFonts w:ascii="Times New Roman" w:hAnsi="Times New Roman" w:eastAsia="Times New Roman" w:cs="Times New Roman"/>
          <w:sz w:val="24"/>
          <w:szCs w:val="24"/>
        </w:rPr>
        <w:t xml:space="preserve"> 94, 509-539.</w:t>
      </w:r>
      <w:hyperlink r:id="rId38">
        <w:r>
          <w:rPr>
            <w:rFonts w:ascii="Times New Roman" w:hAnsi="Times New Roman" w:eastAsia="Times New Roman" w:cs="Times New Roman"/>
            <w:sz w:val="24"/>
            <w:szCs w:val="24"/>
          </w:rPr>
          <w:t xml:space="preserve"> </w:t>
        </w:r>
      </w:hyperlink>
      <w:hyperlink r:id="rId39">
        <w:r>
          <w:rPr>
            <w:rFonts w:ascii="Times New Roman" w:hAnsi="Times New Roman" w:eastAsia="Times New Roman" w:cs="Times New Roman"/>
            <w:sz w:val="24"/>
            <w:szCs w:val="24"/>
            <w:u w:val="single"/>
          </w:rPr>
          <w:t>https://doi.org/10.1111/phpr.12228</w:t>
        </w:r>
      </w:hyperlink>
    </w:p>
    <w:p w:rsidR="00FA60D5" w:rsidP="30383331" w:rsidRDefault="00B26DB1" w14:paraId="586CC2EB" w14:textId="77777777">
      <w:pPr>
        <w:spacing w:before="200" w:line="360" w:lineRule="auto"/>
        <w:rPr>
          <w:rFonts w:ascii="Times New Roman" w:hAnsi="Times New Roman" w:eastAsia="Times New Roman" w:cs="Times New Roman"/>
          <w:sz w:val="24"/>
          <w:szCs w:val="24"/>
          <w:lang w:val="en-US"/>
        </w:rPr>
      </w:pPr>
      <w:r w:rsidRPr="30383331" w:rsidR="00B26DB1">
        <w:rPr>
          <w:rFonts w:ascii="Times New Roman" w:hAnsi="Times New Roman" w:eastAsia="Times New Roman" w:cs="Times New Roman"/>
          <w:sz w:val="24"/>
          <w:szCs w:val="24"/>
          <w:lang w:val="en-US"/>
        </w:rPr>
        <w:t>WHO (2021).</w:t>
      </w:r>
      <w:r w:rsidRPr="30383331" w:rsidR="00B26DB1">
        <w:rPr>
          <w:lang w:val="en-US"/>
        </w:rPr>
        <w:t>WHO Coronavirus (COVID-19) Dashboard</w:t>
      </w:r>
      <w:r w:rsidRPr="30383331" w:rsidR="00B26DB1">
        <w:rPr>
          <w:rFonts w:ascii="Times New Roman" w:hAnsi="Times New Roman" w:eastAsia="Times New Roman" w:cs="Times New Roman"/>
          <w:sz w:val="24"/>
          <w:szCs w:val="24"/>
          <w:lang w:val="en-US"/>
        </w:rPr>
        <w:t xml:space="preserve">. </w:t>
      </w:r>
      <w:hyperlink r:id="Rf9b6d4a7d55a4f80">
        <w:r w:rsidRPr="30383331" w:rsidR="00B26DB1">
          <w:rPr>
            <w:color w:val="0000FF"/>
            <w:u w:val="single"/>
            <w:lang w:val="en-US"/>
          </w:rPr>
          <w:t>https://covid19.who.int/</w:t>
        </w:r>
      </w:hyperlink>
    </w:p>
    <w:p w:rsidR="00FA60D5" w:rsidRDefault="00FA60D5" w14:paraId="5F7EA4AF" w14:textId="77777777">
      <w:pPr>
        <w:spacing w:before="200" w:after="200"/>
        <w:rPr>
          <w:rFonts w:ascii="Times New Roman" w:hAnsi="Times New Roman" w:eastAsia="Times New Roman" w:cs="Times New Roman"/>
          <w:sz w:val="24"/>
          <w:szCs w:val="24"/>
        </w:rPr>
      </w:pPr>
    </w:p>
    <w:sectPr w:rsidR="00FA60D5">
      <w:headerReference w:type="default" r:id="rId41"/>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A20D1" w:rsidRDefault="001A20D1" w14:paraId="58EA531E" w14:textId="77777777">
      <w:pPr>
        <w:spacing w:line="240" w:lineRule="auto"/>
      </w:pPr>
      <w:r>
        <w:separator/>
      </w:r>
    </w:p>
  </w:endnote>
  <w:endnote w:type="continuationSeparator" w:id="0">
    <w:p w:rsidR="001A20D1" w:rsidRDefault="001A20D1" w14:paraId="43999B5C"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A20D1" w:rsidRDefault="001A20D1" w14:paraId="2F840CC6" w14:textId="77777777">
      <w:pPr>
        <w:spacing w:line="240" w:lineRule="auto"/>
      </w:pPr>
      <w:r>
        <w:separator/>
      </w:r>
    </w:p>
  </w:footnote>
  <w:footnote w:type="continuationSeparator" w:id="0">
    <w:p w:rsidR="001A20D1" w:rsidRDefault="001A20D1" w14:paraId="04D662EE"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A60D5" w:rsidRDefault="00B26DB1" w14:paraId="6E379419" w14:textId="77777777">
    <w:pPr>
      <w:jc w:val="right"/>
    </w:pPr>
    <w:r>
      <w:rPr>
        <w:rFonts w:ascii="Times New Roman" w:hAnsi="Times New Roman" w:eastAsia="Times New Roman" w:cs="Times New Roman"/>
        <w:sz w:val="24"/>
        <w:szCs w:val="24"/>
      </w:rPr>
      <w:fldChar w:fldCharType="begin"/>
    </w:r>
    <w:r>
      <w:rPr>
        <w:rFonts w:ascii="Times New Roman" w:hAnsi="Times New Roman" w:eastAsia="Times New Roman" w:cs="Times New Roman"/>
        <w:sz w:val="24"/>
        <w:szCs w:val="24"/>
      </w:rPr>
      <w:instrText>PAGE</w:instrText>
    </w:r>
    <w:r>
      <w:rPr>
        <w:rFonts w:ascii="Times New Roman" w:hAnsi="Times New Roman" w:eastAsia="Times New Roman" w:cs="Times New Roman"/>
        <w:sz w:val="24"/>
        <w:szCs w:val="24"/>
      </w:rPr>
      <w:fldChar w:fldCharType="separate"/>
    </w:r>
    <w:r w:rsidR="00052CE7">
      <w:rPr>
        <w:rFonts w:ascii="Times New Roman" w:hAnsi="Times New Roman" w:eastAsia="Times New Roman" w:cs="Times New Roman"/>
        <w:noProof/>
        <w:sz w:val="24"/>
        <w:szCs w:val="24"/>
      </w:rPr>
      <w:t>1</w:t>
    </w:r>
    <w:r>
      <w:rPr>
        <w:rFonts w:ascii="Times New Roman" w:hAnsi="Times New Roman" w:eastAsia="Times New Roman" w:cs="Times New Roman"/>
        <w:sz w:val="24"/>
        <w:szCs w:val="24"/>
      </w:rPr>
      <w:fldChar w:fldCharType="end"/>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0D5"/>
    <w:rsid w:val="00043CA3"/>
    <w:rsid w:val="00052CE7"/>
    <w:rsid w:val="00093F09"/>
    <w:rsid w:val="001A20D1"/>
    <w:rsid w:val="002A3042"/>
    <w:rsid w:val="00B26DB1"/>
    <w:rsid w:val="00FA60D5"/>
    <w:rsid w:val="303833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69D83"/>
  <w15:docId w15:val="{C0987B51-A692-4EAD-9412-28D1960ECE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CellMar>
        <w:top w:w="100" w:type="dxa"/>
        <w:left w:w="100" w:type="dxa"/>
        <w:bottom w:w="100" w:type="dxa"/>
        <w:right w:w="100" w:type="dxa"/>
      </w:tblCellMar>
    </w:tblPr>
  </w:style>
  <w:style w:type="table" w:styleId="a2" w:customStyle="1">
    <w:basedOn w:val="TableNormal"/>
    <w:tblPr>
      <w:tblStyleRowBandSize w:val="1"/>
      <w:tblStyleColBandSize w:val="1"/>
      <w:tblCellMar>
        <w:top w:w="100" w:type="dxa"/>
        <w:left w:w="100" w:type="dxa"/>
        <w:bottom w:w="100" w:type="dxa"/>
        <w:right w:w="100" w:type="dxa"/>
      </w:tblCellMar>
    </w:tblPr>
  </w:style>
  <w:style w:type="table" w:styleId="a3" w:customStyle="1">
    <w:basedOn w:val="TableNormal"/>
    <w:tblPr>
      <w:tblStyleRowBandSize w:val="1"/>
      <w:tblStyleColBandSize w:val="1"/>
      <w:tblCellMar>
        <w:top w:w="100" w:type="dxa"/>
        <w:left w:w="100" w:type="dxa"/>
        <w:bottom w:w="100" w:type="dxa"/>
        <w:right w:w="100" w:type="dxa"/>
      </w:tblCellMar>
    </w:tblPr>
  </w:style>
  <w:style w:type="table" w:styleId="a4" w:customStyle="1">
    <w:basedOn w:val="TableNormal"/>
    <w:tblPr>
      <w:tblStyleRowBandSize w:val="1"/>
      <w:tblStyleColBandSize w:val="1"/>
      <w:tblCellMar>
        <w:top w:w="100" w:type="dxa"/>
        <w:left w:w="100" w:type="dxa"/>
        <w:bottom w:w="100" w:type="dxa"/>
        <w:right w:w="100" w:type="dxa"/>
      </w:tblCellMar>
    </w:tblPr>
  </w:style>
  <w:style w:type="table" w:styleId="a5" w:customStyle="1">
    <w:basedOn w:val="TableNormal"/>
    <w:tblPr>
      <w:tblStyleRowBandSize w:val="1"/>
      <w:tblStyleColBandSize w:val="1"/>
      <w:tblCellMar>
        <w:top w:w="100" w:type="dxa"/>
        <w:left w:w="100" w:type="dxa"/>
        <w:bottom w:w="100" w:type="dxa"/>
        <w:right w:w="100" w:type="dxa"/>
      </w:tblCellMar>
    </w:tblPr>
  </w:style>
  <w:style w:type="table" w:styleId="a6" w:customStyle="1">
    <w:basedOn w:val="TableNormal"/>
    <w:tblPr>
      <w:tblStyleRowBandSize w:val="1"/>
      <w:tblStyleColBandSize w:val="1"/>
      <w:tblCellMar>
        <w:top w:w="100" w:type="dxa"/>
        <w:left w:w="100" w:type="dxa"/>
        <w:bottom w:w="100" w:type="dxa"/>
        <w:right w:w="100" w:type="dxa"/>
      </w:tblCellMar>
    </w:tblPr>
  </w:style>
  <w:style w:type="table" w:styleId="a7" w:customStyle="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AA651B"/>
    <w:pPr>
      <w:ind w:left="720"/>
      <w:contextualSpacing/>
    </w:pPr>
  </w:style>
  <w:style w:type="character" w:styleId="CommentReference">
    <w:name w:val="annotation reference"/>
    <w:basedOn w:val="DefaultParagraphFont"/>
    <w:uiPriority w:val="99"/>
    <w:semiHidden/>
    <w:unhideWhenUsed/>
    <w:rsid w:val="006A7932"/>
    <w:rPr>
      <w:sz w:val="16"/>
      <w:szCs w:val="16"/>
    </w:rPr>
  </w:style>
  <w:style w:type="paragraph" w:styleId="CommentText">
    <w:name w:val="annotation text"/>
    <w:basedOn w:val="Normal"/>
    <w:link w:val="CommentTextChar"/>
    <w:uiPriority w:val="99"/>
    <w:unhideWhenUsed/>
    <w:rsid w:val="006A7932"/>
    <w:pPr>
      <w:spacing w:line="240" w:lineRule="auto"/>
    </w:pPr>
    <w:rPr>
      <w:sz w:val="20"/>
      <w:szCs w:val="20"/>
    </w:rPr>
  </w:style>
  <w:style w:type="character" w:styleId="CommentTextChar" w:customStyle="1">
    <w:name w:val="Comment Text Char"/>
    <w:basedOn w:val="DefaultParagraphFont"/>
    <w:link w:val="CommentText"/>
    <w:uiPriority w:val="99"/>
    <w:rsid w:val="006A7932"/>
    <w:rPr>
      <w:sz w:val="20"/>
      <w:szCs w:val="20"/>
    </w:rPr>
  </w:style>
  <w:style w:type="paragraph" w:styleId="CommentSubject">
    <w:name w:val="annotation subject"/>
    <w:basedOn w:val="CommentText"/>
    <w:next w:val="CommentText"/>
    <w:link w:val="CommentSubjectChar"/>
    <w:uiPriority w:val="99"/>
    <w:semiHidden/>
    <w:unhideWhenUsed/>
    <w:rsid w:val="006A7932"/>
    <w:rPr>
      <w:b/>
      <w:bCs/>
    </w:rPr>
  </w:style>
  <w:style w:type="character" w:styleId="CommentSubjectChar" w:customStyle="1">
    <w:name w:val="Comment Subject Char"/>
    <w:basedOn w:val="CommentTextChar"/>
    <w:link w:val="CommentSubject"/>
    <w:uiPriority w:val="99"/>
    <w:semiHidden/>
    <w:rsid w:val="006A7932"/>
    <w:rPr>
      <w:b/>
      <w:bCs/>
      <w:sz w:val="20"/>
      <w:szCs w:val="20"/>
    </w:rPr>
  </w:style>
  <w:style w:type="character" w:styleId="Hyperlink">
    <w:name w:val="Hyperlink"/>
    <w:basedOn w:val="DefaultParagraphFont"/>
    <w:uiPriority w:val="99"/>
    <w:unhideWhenUsed/>
    <w:rsid w:val="00750B36"/>
    <w:rPr>
      <w:color w:val="0000FF" w:themeColor="hyperlink"/>
      <w:u w:val="single"/>
    </w:rPr>
  </w:style>
  <w:style w:type="character" w:styleId="UnresolvedMention">
    <w:name w:val="Unresolved Mention"/>
    <w:basedOn w:val="DefaultParagraphFont"/>
    <w:uiPriority w:val="99"/>
    <w:semiHidden/>
    <w:unhideWhenUsed/>
    <w:rsid w:val="00750B36"/>
    <w:rPr>
      <w:color w:val="605E5C"/>
      <w:shd w:val="clear" w:color="auto" w:fill="E1DFDD"/>
    </w:rPr>
  </w:style>
  <w:style w:type="table" w:styleId="a8" w:customStyle="1">
    <w:basedOn w:val="TableNormal"/>
    <w:tblPr>
      <w:tblStyleRowBandSize w:val="1"/>
      <w:tblStyleColBandSize w:val="1"/>
      <w:tblCellMar>
        <w:top w:w="100" w:type="dxa"/>
        <w:left w:w="100" w:type="dxa"/>
        <w:bottom w:w="100" w:type="dxa"/>
        <w:right w:w="100" w:type="dxa"/>
      </w:tblCellMar>
    </w:tblPr>
  </w:style>
  <w:style w:type="table" w:styleId="a9" w:customStyle="1">
    <w:basedOn w:val="TableNormal"/>
    <w:tblPr>
      <w:tblStyleRowBandSize w:val="1"/>
      <w:tblStyleColBandSize w:val="1"/>
      <w:tblCellMar>
        <w:top w:w="100" w:type="dxa"/>
        <w:left w:w="100" w:type="dxa"/>
        <w:bottom w:w="100" w:type="dxa"/>
        <w:right w:w="100" w:type="dxa"/>
      </w:tblCellMar>
    </w:tblPr>
  </w:style>
  <w:style w:type="table" w:styleId="aa" w:customStyle="1">
    <w:basedOn w:val="TableNormal"/>
    <w:tblPr>
      <w:tblStyleRowBandSize w:val="1"/>
      <w:tblStyleColBandSize w:val="1"/>
      <w:tblCellMar>
        <w:top w:w="100" w:type="dxa"/>
        <w:left w:w="100" w:type="dxa"/>
        <w:bottom w:w="100" w:type="dxa"/>
        <w:right w:w="100" w:type="dxa"/>
      </w:tblCellMar>
    </w:tblPr>
  </w:style>
  <w:style w:type="table" w:styleId="ab" w:customStyle="1">
    <w:basedOn w:val="TableNormal"/>
    <w:tblPr>
      <w:tblStyleRowBandSize w:val="1"/>
      <w:tblStyleColBandSize w:val="1"/>
      <w:tblCellMar>
        <w:top w:w="100" w:type="dxa"/>
        <w:left w:w="100" w:type="dxa"/>
        <w:bottom w:w="100" w:type="dxa"/>
        <w:right w:w="100" w:type="dxa"/>
      </w:tblCellMar>
    </w:tblPr>
  </w:style>
  <w:style w:type="table" w:styleId="ac" w:customStyle="1">
    <w:basedOn w:val="TableNormal"/>
    <w:tblPr>
      <w:tblStyleRowBandSize w:val="1"/>
      <w:tblStyleColBandSize w:val="1"/>
      <w:tblCellMar>
        <w:top w:w="100" w:type="dxa"/>
        <w:left w:w="100" w:type="dxa"/>
        <w:bottom w:w="100" w:type="dxa"/>
        <w:right w:w="100" w:type="dxa"/>
      </w:tblCellMar>
    </w:tblPr>
  </w:style>
  <w:style w:type="table" w:styleId="ad" w:customStyle="1">
    <w:basedOn w:val="TableNormal"/>
    <w:tblPr>
      <w:tblStyleRowBandSize w:val="1"/>
      <w:tblStyleColBandSize w:val="1"/>
      <w:tblCellMar>
        <w:top w:w="100" w:type="dxa"/>
        <w:left w:w="100" w:type="dxa"/>
        <w:bottom w:w="100" w:type="dxa"/>
        <w:right w:w="100" w:type="dxa"/>
      </w:tblCellMar>
    </w:tblPr>
  </w:style>
  <w:style w:type="table" w:styleId="ae" w:customStyle="1">
    <w:basedOn w:val="TableNormal"/>
    <w:tblPr>
      <w:tblStyleRowBandSize w:val="1"/>
      <w:tblStyleColBandSize w:val="1"/>
      <w:tblCellMar>
        <w:top w:w="100" w:type="dxa"/>
        <w:left w:w="100" w:type="dxa"/>
        <w:bottom w:w="100" w:type="dxa"/>
        <w:right w:w="100" w:type="dxa"/>
      </w:tblCellMar>
    </w:tblPr>
  </w:style>
  <w:style w:type="table" w:styleId="af" w:customStyle="1">
    <w:basedOn w:val="TableNormal"/>
    <w:tblPr>
      <w:tblStyleRowBandSize w:val="1"/>
      <w:tblStyleColBandSize w:val="1"/>
      <w:tblCellMar>
        <w:top w:w="100" w:type="dxa"/>
        <w:left w:w="100" w:type="dxa"/>
        <w:bottom w:w="100" w:type="dxa"/>
        <w:right w:w="100" w:type="dxa"/>
      </w:tblCellMar>
    </w:tblPr>
  </w:style>
  <w:style w:type="table" w:styleId="af0" w:customStyle="1">
    <w:basedOn w:val="TableNormal"/>
    <w:tblPr>
      <w:tblStyleRowBandSize w:val="1"/>
      <w:tblStyleColBandSize w:val="1"/>
      <w:tblCellMar>
        <w:top w:w="100" w:type="dxa"/>
        <w:left w:w="100" w:type="dxa"/>
        <w:bottom w:w="100" w:type="dxa"/>
        <w:right w:w="100" w:type="dxa"/>
      </w:tblCellMar>
    </w:tblPr>
  </w:style>
  <w:style w:type="character" w:styleId="sc-prorn" w:customStyle="1">
    <w:name w:val="sc-prorn"/>
    <w:basedOn w:val="DefaultParagraphFont"/>
    <w:rsid w:val="003A4217"/>
  </w:style>
  <w:style w:type="character" w:styleId="FollowedHyperlink">
    <w:name w:val="FollowedHyperlink"/>
    <w:basedOn w:val="DefaultParagraphFont"/>
    <w:uiPriority w:val="99"/>
    <w:semiHidden/>
    <w:unhideWhenUsed/>
    <w:rsid w:val="001D6E85"/>
    <w:rPr>
      <w:color w:val="800080" w:themeColor="followedHyperlink"/>
      <w:u w:val="single"/>
    </w:rPr>
  </w:style>
  <w:style w:type="paragraph" w:styleId="BalloonText">
    <w:name w:val="Balloon Text"/>
    <w:basedOn w:val="Normal"/>
    <w:link w:val="BalloonTextChar"/>
    <w:uiPriority w:val="99"/>
    <w:semiHidden/>
    <w:unhideWhenUsed/>
    <w:rsid w:val="00A412D3"/>
    <w:pPr>
      <w:spacing w:line="240" w:lineRule="auto"/>
    </w:pPr>
    <w:rPr>
      <w:rFonts w:ascii="Times New Roman" w:hAnsi="Times New Roman" w:cs="Times New Roman"/>
      <w:sz w:val="18"/>
      <w:szCs w:val="18"/>
    </w:rPr>
  </w:style>
  <w:style w:type="character" w:styleId="BalloonTextChar" w:customStyle="1">
    <w:name w:val="Balloon Text Char"/>
    <w:basedOn w:val="DefaultParagraphFont"/>
    <w:link w:val="BalloonText"/>
    <w:uiPriority w:val="99"/>
    <w:semiHidden/>
    <w:rsid w:val="00A412D3"/>
    <w:rPr>
      <w:rFonts w:ascii="Times New Roman" w:hAnsi="Times New Roman" w:cs="Times New Roman"/>
      <w:sz w:val="18"/>
      <w:szCs w:val="18"/>
    </w:rPr>
  </w:style>
  <w:style w:type="paragraph" w:styleId="Revision">
    <w:name w:val="Revision"/>
    <w:hidden/>
    <w:uiPriority w:val="99"/>
    <w:semiHidden/>
    <w:rsid w:val="00D76984"/>
    <w:pPr>
      <w:spacing w:line="240" w:lineRule="auto"/>
    </w:pPr>
  </w:style>
  <w:style w:type="table" w:styleId="af1" w:customStyle="1">
    <w:basedOn w:val="TableNormal"/>
    <w:tblPr>
      <w:tblStyleRowBandSize w:val="1"/>
      <w:tblStyleColBandSize w:val="1"/>
      <w:tblCellMar>
        <w:top w:w="100" w:type="dxa"/>
        <w:left w:w="100" w:type="dxa"/>
        <w:bottom w:w="100" w:type="dxa"/>
        <w:right w:w="100" w:type="dxa"/>
      </w:tblCellMar>
    </w:tblPr>
  </w:style>
  <w:style w:type="table" w:styleId="af2" w:customStyle="1">
    <w:basedOn w:val="TableNormal"/>
    <w:tblPr>
      <w:tblStyleRowBandSize w:val="1"/>
      <w:tblStyleColBandSize w:val="1"/>
      <w:tblCellMar>
        <w:top w:w="100" w:type="dxa"/>
        <w:left w:w="100" w:type="dxa"/>
        <w:bottom w:w="100" w:type="dxa"/>
        <w:right w:w="100" w:type="dxa"/>
      </w:tblCellMar>
    </w:tblPr>
  </w:style>
  <w:style w:type="table" w:styleId="af3" w:customStyle="1">
    <w:basedOn w:val="TableNormal"/>
    <w:tblPr>
      <w:tblStyleRowBandSize w:val="1"/>
      <w:tblStyleColBandSize w:val="1"/>
      <w:tblCellMar>
        <w:top w:w="100" w:type="dxa"/>
        <w:left w:w="100" w:type="dxa"/>
        <w:bottom w:w="100" w:type="dxa"/>
        <w:right w:w="100" w:type="dxa"/>
      </w:tblCellMar>
    </w:tblPr>
  </w:style>
  <w:style w:type="table" w:styleId="af4" w:customStyle="1">
    <w:basedOn w:val="TableNormal"/>
    <w:tblPr>
      <w:tblStyleRowBandSize w:val="1"/>
      <w:tblStyleColBandSize w:val="1"/>
      <w:tblCellMar>
        <w:top w:w="100" w:type="dxa"/>
        <w:left w:w="100" w:type="dxa"/>
        <w:bottom w:w="100" w:type="dxa"/>
        <w:right w:w="100" w:type="dxa"/>
      </w:tblCellMar>
    </w:tblPr>
  </w:style>
  <w:style w:type="table" w:styleId="af5" w:customStyle="1">
    <w:basedOn w:val="TableNormal"/>
    <w:tblPr>
      <w:tblStyleRowBandSize w:val="1"/>
      <w:tblStyleColBandSize w:val="1"/>
      <w:tblCellMar>
        <w:top w:w="100" w:type="dxa"/>
        <w:left w:w="100" w:type="dxa"/>
        <w:bottom w:w="100" w:type="dxa"/>
        <w:right w:w="100" w:type="dxa"/>
      </w:tblCellMar>
    </w:tblPr>
  </w:style>
  <w:style w:type="table" w:styleId="af6" w:customStyle="1">
    <w:basedOn w:val="TableNormal"/>
    <w:tblPr>
      <w:tblStyleRowBandSize w:val="1"/>
      <w:tblStyleColBandSize w:val="1"/>
      <w:tblCellMar>
        <w:top w:w="100" w:type="dxa"/>
        <w:left w:w="100" w:type="dxa"/>
        <w:bottom w:w="100" w:type="dxa"/>
        <w:right w:w="100" w:type="dxa"/>
      </w:tblCellMar>
    </w:tblPr>
  </w:style>
  <w:style w:type="table" w:styleId="af7" w:customStyle="1">
    <w:basedOn w:val="TableNormal"/>
    <w:tblPr>
      <w:tblStyleRowBandSize w:val="1"/>
      <w:tblStyleColBandSize w:val="1"/>
      <w:tblCellMar>
        <w:top w:w="100" w:type="dxa"/>
        <w:left w:w="100" w:type="dxa"/>
        <w:bottom w:w="100" w:type="dxa"/>
        <w:right w:w="100" w:type="dxa"/>
      </w:tblCellMar>
    </w:tblPr>
  </w:style>
  <w:style w:type="table" w:styleId="af8" w:customStyle="1">
    <w:basedOn w:val="TableNormal"/>
    <w:tblPr>
      <w:tblStyleRowBandSize w:val="1"/>
      <w:tblStyleColBandSize w:val="1"/>
      <w:tblCellMar>
        <w:top w:w="100" w:type="dxa"/>
        <w:left w:w="100" w:type="dxa"/>
        <w:bottom w:w="100" w:type="dxa"/>
        <w:right w:w="100" w:type="dxa"/>
      </w:tblCellMar>
    </w:tblPr>
  </w:style>
  <w:style w:type="table" w:styleId="af9" w:customStyle="1">
    <w:basedOn w:val="TableNormal"/>
    <w:tblPr>
      <w:tblStyleRowBandSize w:val="1"/>
      <w:tblStyleColBandSize w:val="1"/>
      <w:tblCellMar>
        <w:top w:w="100" w:type="dxa"/>
        <w:left w:w="100" w:type="dxa"/>
        <w:bottom w:w="100" w:type="dxa"/>
        <w:right w:w="100" w:type="dxa"/>
      </w:tblCellMar>
    </w:tblPr>
  </w:style>
  <w:style w:type="table" w:styleId="afa" w:customStyle="1">
    <w:basedOn w:val="TableNormal"/>
    <w:tblPr>
      <w:tblStyleRowBandSize w:val="1"/>
      <w:tblStyleColBandSize w:val="1"/>
      <w:tblCellMar>
        <w:top w:w="100" w:type="dxa"/>
        <w:left w:w="100" w:type="dxa"/>
        <w:bottom w:w="100" w:type="dxa"/>
        <w:right w:w="100" w:type="dxa"/>
      </w:tblCellMar>
    </w:tblPr>
  </w:style>
  <w:style w:type="table" w:styleId="afb" w:customStyle="1">
    <w:basedOn w:val="TableNormal"/>
    <w:tblPr>
      <w:tblStyleRowBandSize w:val="1"/>
      <w:tblStyleColBandSize w:val="1"/>
      <w:tblCellMar>
        <w:top w:w="100" w:type="dxa"/>
        <w:left w:w="100" w:type="dxa"/>
        <w:bottom w:w="100" w:type="dxa"/>
        <w:right w:w="100" w:type="dxa"/>
      </w:tblCellMar>
    </w:tblPr>
  </w:style>
  <w:style w:type="table" w:styleId="afc" w:customStyle="1">
    <w:basedOn w:val="TableNormal"/>
    <w:tblPr>
      <w:tblStyleRowBandSize w:val="1"/>
      <w:tblStyleColBandSize w:val="1"/>
      <w:tblCellMar>
        <w:top w:w="100" w:type="dxa"/>
        <w:left w:w="100" w:type="dxa"/>
        <w:bottom w:w="100" w:type="dxa"/>
        <w:right w:w="100" w:type="dxa"/>
      </w:tblCellMar>
    </w:tblPr>
  </w:style>
  <w:style w:type="table" w:styleId="afd" w:customStyle="1">
    <w:basedOn w:val="TableNormal"/>
    <w:tblPr>
      <w:tblStyleRowBandSize w:val="1"/>
      <w:tblStyleColBandSize w:val="1"/>
      <w:tblCellMar>
        <w:top w:w="100" w:type="dxa"/>
        <w:left w:w="100" w:type="dxa"/>
        <w:bottom w:w="100" w:type="dxa"/>
        <w:right w:w="100" w:type="dxa"/>
      </w:tblCellMar>
    </w:tblPr>
  </w:style>
  <w:style w:type="table" w:styleId="afe" w:customStyle="1">
    <w:basedOn w:val="TableNormal"/>
    <w:tblPr>
      <w:tblStyleRowBandSize w:val="1"/>
      <w:tblStyleColBandSize w:val="1"/>
      <w:tblCellMar>
        <w:top w:w="100" w:type="dxa"/>
        <w:left w:w="100" w:type="dxa"/>
        <w:bottom w:w="100" w:type="dxa"/>
        <w:right w:w="100" w:type="dxa"/>
      </w:tblCellMar>
    </w:tblPr>
  </w:style>
  <w:style w:type="table" w:styleId="aff" w:customStyle="1">
    <w:basedOn w:val="TableNormal"/>
    <w:tblPr>
      <w:tblStyleRowBandSize w:val="1"/>
      <w:tblStyleColBandSize w:val="1"/>
      <w:tblCellMar>
        <w:top w:w="100" w:type="dxa"/>
        <w:left w:w="100" w:type="dxa"/>
        <w:bottom w:w="100" w:type="dxa"/>
        <w:right w:w="100" w:type="dxa"/>
      </w:tblCellMar>
    </w:tblPr>
  </w:style>
  <w:style w:type="table" w:styleId="aff0" w:customStyle="1">
    <w:basedOn w:val="TableNormal"/>
    <w:tblPr>
      <w:tblStyleRowBandSize w:val="1"/>
      <w:tblStyleColBandSize w:val="1"/>
      <w:tblCellMar>
        <w:top w:w="100" w:type="dxa"/>
        <w:left w:w="100" w:type="dxa"/>
        <w:bottom w:w="100" w:type="dxa"/>
        <w:right w:w="100" w:type="dxa"/>
      </w:tblCellMar>
    </w:tblPr>
  </w:style>
  <w:style w:type="table" w:styleId="aff1" w:customStyle="1">
    <w:basedOn w:val="TableNormal"/>
    <w:tblPr>
      <w:tblStyleRowBandSize w:val="1"/>
      <w:tblStyleColBandSize w:val="1"/>
      <w:tblCellMar>
        <w:top w:w="100" w:type="dxa"/>
        <w:left w:w="100" w:type="dxa"/>
        <w:bottom w:w="100" w:type="dxa"/>
        <w:right w:w="100" w:type="dxa"/>
      </w:tblCellMar>
    </w:tblPr>
  </w:style>
  <w:style w:type="table" w:styleId="aff2" w:customStyle="1">
    <w:basedOn w:val="TableNormal"/>
    <w:tblPr>
      <w:tblStyleRowBandSize w:val="1"/>
      <w:tblStyleColBandSize w:val="1"/>
      <w:tblCellMar>
        <w:top w:w="100" w:type="dxa"/>
        <w:left w:w="100" w:type="dxa"/>
        <w:bottom w:w="100" w:type="dxa"/>
        <w:right w:w="100" w:type="dxa"/>
      </w:tblCellMar>
    </w:tblPr>
  </w:style>
  <w:style w:type="table" w:styleId="aff3" w:customStyle="1">
    <w:basedOn w:val="TableNormal"/>
    <w:tblPr>
      <w:tblStyleRowBandSize w:val="1"/>
      <w:tblStyleColBandSize w:val="1"/>
      <w:tblCellMar>
        <w:top w:w="100" w:type="dxa"/>
        <w:left w:w="100" w:type="dxa"/>
        <w:bottom w:w="100" w:type="dxa"/>
        <w:right w:w="100" w:type="dxa"/>
      </w:tblCellMar>
    </w:tblPr>
  </w:style>
  <w:style w:type="table" w:styleId="aff4" w:customStyle="1">
    <w:basedOn w:val="TableNormal"/>
    <w:tblPr>
      <w:tblStyleRowBandSize w:val="1"/>
      <w:tblStyleColBandSize w:val="1"/>
      <w:tblCellMar>
        <w:top w:w="100" w:type="dxa"/>
        <w:left w:w="100" w:type="dxa"/>
        <w:bottom w:w="100" w:type="dxa"/>
        <w:right w:w="100" w:type="dxa"/>
      </w:tblCellMar>
    </w:tblPr>
  </w:style>
  <w:style w:type="table" w:styleId="aff5" w:customStyle="1">
    <w:basedOn w:val="TableNormal"/>
    <w:tblPr>
      <w:tblStyleRowBandSize w:val="1"/>
      <w:tblStyleColBandSize w:val="1"/>
      <w:tblCellMar>
        <w:top w:w="100" w:type="dxa"/>
        <w:left w:w="100" w:type="dxa"/>
        <w:bottom w:w="100" w:type="dxa"/>
        <w:right w:w="100" w:type="dxa"/>
      </w:tblCellMar>
    </w:tblPr>
  </w:style>
  <w:style w:type="table" w:styleId="aff6" w:customStyle="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02635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www.cnbc.com/2021/02/10/biden-covid-vaccine-anti-vaxxers-us.html" TargetMode="External" Id="rId13" /><Relationship Type="http://schemas.openxmlformats.org/officeDocument/2006/relationships/hyperlink" Target="https://www.coe.int/en/web/reference-framework-of-competences-for-democratic-culture/" TargetMode="External" Id="rId18" /><Relationship Type="http://schemas.openxmlformats.org/officeDocument/2006/relationships/hyperlink" Target="https://humilityandconviction.uconn.edu/blank/mission/" TargetMode="External" Id="rId26" /><Relationship Type="http://schemas.openxmlformats.org/officeDocument/2006/relationships/hyperlink" Target="https://doi.org/10.1111/phpr.12228" TargetMode="External" Id="rId39" /><Relationship Type="http://schemas.openxmlformats.org/officeDocument/2006/relationships/settings" Target="settings.xml" Id="rId3" /><Relationship Type="http://schemas.openxmlformats.org/officeDocument/2006/relationships/hyperlink" Target="https://doi.org/10.1111/1467-9752.12422" TargetMode="External" Id="rId34" /><Relationship Type="http://schemas.openxmlformats.org/officeDocument/2006/relationships/fontTable" Target="fontTable.xml" Id="rId42" /><Relationship Type="http://schemas.openxmlformats.org/officeDocument/2006/relationships/hyperlink" Target="https://www.bbc.com/news/av/world-us-canada-52344540" TargetMode="External" Id="rId12" /><Relationship Type="http://schemas.openxmlformats.org/officeDocument/2006/relationships/hyperlink" Target="https://doi.org/10.21832/9781847690807" TargetMode="External" Id="rId17" /><Relationship Type="http://schemas.openxmlformats.org/officeDocument/2006/relationships/hyperlink" Target="https://humilityandconviction.uconn.edu/blank/mission/" TargetMode="External" Id="rId25" /><Relationship Type="http://schemas.openxmlformats.org/officeDocument/2006/relationships/hyperlink" Target="https://doi.org/10.1111/1467-9752.12422" TargetMode="External" Id="rId33" /><Relationship Type="http://schemas.openxmlformats.org/officeDocument/2006/relationships/hyperlink" Target="https://doi.org/10.1111/phpr.12228" TargetMode="External" Id="rId38" /><Relationship Type="http://schemas.openxmlformats.org/officeDocument/2006/relationships/styles" Target="styles.xml" Id="rId2" /><Relationship Type="http://schemas.openxmlformats.org/officeDocument/2006/relationships/hyperlink" Target="https://doi.org/10.21832/9781800410251" TargetMode="External" Id="rId16" /><Relationship Type="http://schemas.openxmlformats.org/officeDocument/2006/relationships/hyperlink" Target="https://doi.org/10.21832/9781783096565-005" TargetMode="External" Id="rId20" /><Relationship Type="http://schemas.openxmlformats.org/officeDocument/2006/relationships/hyperlink" Target="https://doi.org/10.4324/9781315714127" TargetMode="External" Id="rId29" /><Relationship Type="http://schemas.openxmlformats.org/officeDocument/2006/relationships/header" Target="header1.xml" Id="rId41" /><Relationship Type="http://schemas.openxmlformats.org/officeDocument/2006/relationships/customXml" Target="../customXml/item1.xml" Id="rId1" /><Relationship Type="http://schemas.openxmlformats.org/officeDocument/2006/relationships/endnotes" Target="endnotes.xml" Id="rId6" /><Relationship Type="http://schemas.openxmlformats.org/officeDocument/2006/relationships/hyperlink" Target="https://www.hsph.harvard.edu/news/features/fighting-the-spread-of-covid-19-misinformation/" TargetMode="External" Id="rId11" /><Relationship Type="http://schemas.openxmlformats.org/officeDocument/2006/relationships/hyperlink" Target="https://humilityandconviction.uconn.edu/blank/mission/" TargetMode="External" Id="rId24" /><Relationship Type="http://schemas.openxmlformats.org/officeDocument/2006/relationships/hyperlink" Target="https://humilityandconviction.uconn.edu/wp-content/uploads/sites/1877/2016/09/IHPD-Literature-Review-revised.pdf" TargetMode="External" Id="rId32" /><Relationship Type="http://schemas.openxmlformats.org/officeDocument/2006/relationships/footnotes" Target="footnotes.xml" Id="rId5" /><Relationship Type="http://schemas.openxmlformats.org/officeDocument/2006/relationships/hyperlink" Target="https://doi.org/10.4324/9781315758145" TargetMode="External" Id="rId15" /><Relationship Type="http://schemas.openxmlformats.org/officeDocument/2006/relationships/hyperlink" Target="https://doi.org/10.4324/9781315714127" TargetMode="External" Id="rId23" /><Relationship Type="http://schemas.openxmlformats.org/officeDocument/2006/relationships/hyperlink" Target="http://doi.org/10.1093/OBO/9780195396577-0347" TargetMode="External" Id="rId28" /><Relationship Type="http://schemas.openxmlformats.org/officeDocument/2006/relationships/hyperlink" Target="https://static1.squarespace.com/static/5ade38cf7e3c3a8e0fd03b28/t/5afc3ae788251b30fb713807/1526479592257/teaching_humility_in_an_age_of_arrogance.pdf" TargetMode="External" Id="rId31" /><Relationship Type="http://schemas.openxmlformats.org/officeDocument/2006/relationships/webSettings" Target="webSettings.xml" Id="rId4" /><Relationship Type="http://schemas.openxmlformats.org/officeDocument/2006/relationships/image" Target="media/image1.png" Id="rId9" /><Relationship Type="http://schemas.openxmlformats.org/officeDocument/2006/relationships/hyperlink" Target="https://www.youtube.com/watch?v=Kww6pM6jS58" TargetMode="External" Id="rId14" /><Relationship Type="http://schemas.openxmlformats.org/officeDocument/2006/relationships/hyperlink" Target="http://dx.doi.org/10.1017/epi.2012.11" TargetMode="External" Id="rId22" /><Relationship Type="http://schemas.openxmlformats.org/officeDocument/2006/relationships/hyperlink" Target="https://doi.org/10.1007/s11245-017-9453-0" TargetMode="External" Id="rId27" /><Relationship Type="http://schemas.openxmlformats.org/officeDocument/2006/relationships/hyperlink" Target="https://doi.org/10.4324/9781351107532" TargetMode="External" Id="rId30" /><Relationship Type="http://schemas.openxmlformats.org/officeDocument/2006/relationships/theme" Target="theme/theme1.xml" Id="rId43" /><Relationship Type="http://schemas.openxmlformats.org/officeDocument/2006/relationships/hyperlink" Target="https://humilityandconviction.uconn.edu/blank/mission/" TargetMode="External" Id="R35999a6e8bcd46b6" /><Relationship Type="http://schemas.openxmlformats.org/officeDocument/2006/relationships/hyperlink" Target="https://www.oecd.org/pisa/pisa-2018-global-competence.htm" TargetMode="External" Id="R40ca21e134bf410f" /><Relationship Type="http://schemas.openxmlformats.org/officeDocument/2006/relationships/hyperlink" Target="https://www.ed.gov/coronavirus" TargetMode="External" Id="Rad8e6143d5c44dc7" /><Relationship Type="http://schemas.openxmlformats.org/officeDocument/2006/relationships/hyperlink" Target="https://doi.org/10.4324/9781351107532" TargetMode="External" Id="R39d46370fa414c7f" /><Relationship Type="http://schemas.openxmlformats.org/officeDocument/2006/relationships/hyperlink" Target="https://doi.org/10.4324/9781315714127" TargetMode="External" Id="R46d2ca5aab7d416c" /><Relationship Type="http://schemas.openxmlformats.org/officeDocument/2006/relationships/hyperlink" Target="http://dx.doi.org/10.21832/WAGNER8903" TargetMode="External" Id="Rdd5b28fa7bd44efe" /><Relationship Type="http://schemas.openxmlformats.org/officeDocument/2006/relationships/hyperlink" Target="https://doi.org/10.21832/9781783098910-008" TargetMode="External" Id="Rb41e87dbd73e4877" /><Relationship Type="http://schemas.openxmlformats.org/officeDocument/2006/relationships/hyperlink" Target="https://doi.org/10.4324/9781351107532" TargetMode="External" Id="R2f65531273714ae6" /><Relationship Type="http://schemas.openxmlformats.org/officeDocument/2006/relationships/hyperlink" Target="https://covid19.who.int/" TargetMode="External" Id="Rf9b6d4a7d55a4f8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NQKsGhtlq4UDBPfhM81jo3Vc2Q==">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Michael Byram</dc:creator>
  <lastModifiedBy>BYRAM, MICHAEL</lastModifiedBy>
  <revision>5</revision>
  <dcterms:created xsi:type="dcterms:W3CDTF">2022-01-01T11:56:00.0000000Z</dcterms:created>
  <dcterms:modified xsi:type="dcterms:W3CDTF">2025-07-03T15:26:18.4516686Z</dcterms:modified>
</coreProperties>
</file>